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F60F" w14:textId="77777777" w:rsidR="00011D29" w:rsidRPr="00217CA0" w:rsidRDefault="00011D29" w:rsidP="00011D29">
      <w:pPr>
        <w:jc w:val="center"/>
        <w:rPr>
          <w:sz w:val="36"/>
          <w:szCs w:val="36"/>
        </w:rPr>
      </w:pPr>
      <w:bookmarkStart w:id="0" w:name="_Hlk30771991"/>
      <w:bookmarkEnd w:id="0"/>
    </w:p>
    <w:p w14:paraId="60B1981B" w14:textId="77777777" w:rsidR="00011D29" w:rsidRPr="00217CA0" w:rsidRDefault="00011D29" w:rsidP="00011D29">
      <w:pPr>
        <w:jc w:val="center"/>
        <w:rPr>
          <w:sz w:val="36"/>
          <w:szCs w:val="36"/>
        </w:rPr>
      </w:pPr>
      <w:r w:rsidRPr="00217CA0">
        <w:rPr>
          <w:sz w:val="36"/>
          <w:szCs w:val="36"/>
        </w:rPr>
        <w:t>NEW FOREST NATIONAL PARK AUTHORITY</w:t>
      </w:r>
    </w:p>
    <w:p w14:paraId="18252AFD" w14:textId="77777777" w:rsidR="00011D29" w:rsidRPr="00217CA0" w:rsidRDefault="00011D29" w:rsidP="00011D29">
      <w:pPr>
        <w:jc w:val="center"/>
        <w:rPr>
          <w:sz w:val="36"/>
          <w:szCs w:val="36"/>
        </w:rPr>
      </w:pPr>
    </w:p>
    <w:p w14:paraId="64EEE3F4" w14:textId="77777777" w:rsidR="00011D29" w:rsidRPr="00217CA0" w:rsidRDefault="00011D29" w:rsidP="00011D29">
      <w:pPr>
        <w:jc w:val="center"/>
        <w:rPr>
          <w:sz w:val="36"/>
          <w:szCs w:val="36"/>
        </w:rPr>
      </w:pPr>
      <w:r w:rsidRPr="00217CA0">
        <w:rPr>
          <w:sz w:val="36"/>
          <w:szCs w:val="36"/>
        </w:rPr>
        <w:t>Local Development Framework</w:t>
      </w:r>
    </w:p>
    <w:p w14:paraId="3BAC02C0" w14:textId="77777777" w:rsidR="00011D29" w:rsidRPr="00217CA0" w:rsidRDefault="00011D29" w:rsidP="00011D29">
      <w:pPr>
        <w:jc w:val="center"/>
        <w:rPr>
          <w:sz w:val="36"/>
          <w:szCs w:val="36"/>
        </w:rPr>
      </w:pPr>
      <w:r w:rsidRPr="00217CA0">
        <w:rPr>
          <w:sz w:val="36"/>
          <w:szCs w:val="36"/>
        </w:rPr>
        <w:t>MONITORING REPORT</w:t>
      </w:r>
    </w:p>
    <w:p w14:paraId="50F243EF" w14:textId="77777777" w:rsidR="00011D29" w:rsidRPr="00217CA0" w:rsidRDefault="00011D29" w:rsidP="00011D29">
      <w:pPr>
        <w:jc w:val="center"/>
        <w:rPr>
          <w:sz w:val="36"/>
          <w:szCs w:val="36"/>
        </w:rPr>
      </w:pPr>
    </w:p>
    <w:p w14:paraId="79250CE6" w14:textId="561AF6E4" w:rsidR="00011D29" w:rsidRPr="00217CA0" w:rsidRDefault="00011D29" w:rsidP="00011D29">
      <w:pPr>
        <w:jc w:val="center"/>
        <w:rPr>
          <w:sz w:val="36"/>
          <w:szCs w:val="36"/>
        </w:rPr>
      </w:pPr>
      <w:r w:rsidRPr="00217CA0">
        <w:rPr>
          <w:sz w:val="36"/>
          <w:szCs w:val="36"/>
        </w:rPr>
        <w:t xml:space="preserve"> 202</w:t>
      </w:r>
      <w:r>
        <w:rPr>
          <w:sz w:val="36"/>
          <w:szCs w:val="36"/>
        </w:rPr>
        <w:t>4</w:t>
      </w:r>
      <w:r w:rsidRPr="00217CA0">
        <w:rPr>
          <w:sz w:val="36"/>
          <w:szCs w:val="36"/>
        </w:rPr>
        <w:t xml:space="preserve"> – 202</w:t>
      </w:r>
      <w:r>
        <w:rPr>
          <w:sz w:val="36"/>
          <w:szCs w:val="36"/>
        </w:rPr>
        <w:t>5</w:t>
      </w:r>
    </w:p>
    <w:p w14:paraId="1D6CD509" w14:textId="77777777" w:rsidR="00011D29" w:rsidRPr="00217CA0" w:rsidRDefault="00011D29" w:rsidP="00011D29">
      <w:pPr>
        <w:jc w:val="center"/>
        <w:rPr>
          <w:sz w:val="36"/>
          <w:szCs w:val="36"/>
        </w:rPr>
      </w:pPr>
    </w:p>
    <w:p w14:paraId="733568F2" w14:textId="77777777" w:rsidR="00011D29" w:rsidRPr="00217CA0" w:rsidRDefault="00011D29" w:rsidP="00011D29">
      <w:pPr>
        <w:jc w:val="center"/>
        <w:rPr>
          <w:sz w:val="36"/>
          <w:szCs w:val="36"/>
        </w:rPr>
      </w:pPr>
    </w:p>
    <w:p w14:paraId="63081255" w14:textId="77777777" w:rsidR="00011D29" w:rsidRPr="00217CA0" w:rsidRDefault="00011D29" w:rsidP="00011D29">
      <w:pPr>
        <w:jc w:val="center"/>
        <w:rPr>
          <w:sz w:val="36"/>
          <w:szCs w:val="36"/>
        </w:rPr>
      </w:pPr>
    </w:p>
    <w:p w14:paraId="47B441FC" w14:textId="77777777" w:rsidR="00011D29" w:rsidRPr="00217CA0" w:rsidRDefault="00011D29" w:rsidP="00011D29">
      <w:pPr>
        <w:jc w:val="center"/>
        <w:rPr>
          <w:sz w:val="36"/>
          <w:szCs w:val="36"/>
        </w:rPr>
      </w:pPr>
    </w:p>
    <w:p w14:paraId="69544B18" w14:textId="77777777" w:rsidR="00011D29" w:rsidRPr="00217CA0" w:rsidRDefault="00011D29" w:rsidP="00011D29">
      <w:pPr>
        <w:jc w:val="center"/>
        <w:rPr>
          <w:sz w:val="36"/>
          <w:szCs w:val="36"/>
        </w:rPr>
      </w:pPr>
    </w:p>
    <w:p w14:paraId="61D1BCCC" w14:textId="77777777" w:rsidR="00011D29" w:rsidRPr="00217CA0" w:rsidRDefault="00011D29" w:rsidP="00011D29">
      <w:pPr>
        <w:jc w:val="center"/>
        <w:rPr>
          <w:sz w:val="36"/>
          <w:szCs w:val="36"/>
        </w:rPr>
      </w:pPr>
    </w:p>
    <w:p w14:paraId="4644B939" w14:textId="77777777" w:rsidR="00011D29" w:rsidRPr="00217CA0" w:rsidRDefault="00011D29" w:rsidP="00011D29">
      <w:pPr>
        <w:jc w:val="center"/>
        <w:rPr>
          <w:sz w:val="36"/>
          <w:szCs w:val="36"/>
        </w:rPr>
      </w:pPr>
    </w:p>
    <w:p w14:paraId="558294C0" w14:textId="77777777" w:rsidR="00011D29" w:rsidRPr="00217CA0" w:rsidRDefault="00011D29" w:rsidP="00011D29">
      <w:pPr>
        <w:jc w:val="center"/>
        <w:rPr>
          <w:sz w:val="36"/>
          <w:szCs w:val="36"/>
        </w:rPr>
      </w:pPr>
    </w:p>
    <w:p w14:paraId="0D9169D0" w14:textId="77777777" w:rsidR="00011D29" w:rsidRPr="00217CA0" w:rsidRDefault="00011D29" w:rsidP="00011D29">
      <w:pPr>
        <w:jc w:val="center"/>
        <w:rPr>
          <w:sz w:val="36"/>
          <w:szCs w:val="36"/>
        </w:rPr>
      </w:pPr>
    </w:p>
    <w:p w14:paraId="1E94FECC" w14:textId="77777777" w:rsidR="00011D29" w:rsidRPr="00217CA0" w:rsidRDefault="00011D29" w:rsidP="00011D29">
      <w:pPr>
        <w:jc w:val="center"/>
      </w:pPr>
    </w:p>
    <w:p w14:paraId="54FF8E5B" w14:textId="77777777" w:rsidR="00011D29" w:rsidRPr="00217CA0" w:rsidRDefault="00011D29" w:rsidP="00011D29">
      <w:pPr>
        <w:jc w:val="center"/>
      </w:pPr>
    </w:p>
    <w:p w14:paraId="6B052660" w14:textId="77777777" w:rsidR="00011D29" w:rsidRPr="00217CA0" w:rsidRDefault="00011D29" w:rsidP="00011D29">
      <w:pPr>
        <w:jc w:val="center"/>
      </w:pPr>
    </w:p>
    <w:p w14:paraId="3F9E319A" w14:textId="77777777" w:rsidR="00011D29" w:rsidRPr="00217CA0" w:rsidRDefault="00011D29" w:rsidP="00011D29">
      <w:pPr>
        <w:jc w:val="center"/>
      </w:pPr>
    </w:p>
    <w:p w14:paraId="32E1BD2F" w14:textId="77777777" w:rsidR="00011D29" w:rsidRPr="00217CA0" w:rsidRDefault="00011D29" w:rsidP="00011D29">
      <w:pPr>
        <w:jc w:val="center"/>
      </w:pPr>
    </w:p>
    <w:p w14:paraId="19237E8E" w14:textId="77777777" w:rsidR="00011D29" w:rsidRPr="00217CA0" w:rsidRDefault="00011D29" w:rsidP="00011D29">
      <w:pPr>
        <w:jc w:val="center"/>
      </w:pPr>
    </w:p>
    <w:p w14:paraId="01BAD632" w14:textId="77777777" w:rsidR="00011D29" w:rsidRPr="00217CA0" w:rsidRDefault="00011D29" w:rsidP="00011D29">
      <w:pPr>
        <w:jc w:val="center"/>
      </w:pPr>
    </w:p>
    <w:p w14:paraId="77B7F003" w14:textId="77777777" w:rsidR="00011D29" w:rsidRPr="00217CA0" w:rsidRDefault="00011D29" w:rsidP="00011D29">
      <w:pPr>
        <w:jc w:val="center"/>
      </w:pPr>
    </w:p>
    <w:p w14:paraId="667F979B" w14:textId="77777777" w:rsidR="00011D29" w:rsidRPr="00217CA0" w:rsidRDefault="00011D29" w:rsidP="00011D29">
      <w:pPr>
        <w:jc w:val="center"/>
      </w:pPr>
    </w:p>
    <w:p w14:paraId="47E7F118" w14:textId="77777777" w:rsidR="00011D29" w:rsidRPr="00217CA0" w:rsidRDefault="00011D29" w:rsidP="00011D29">
      <w:pPr>
        <w:jc w:val="center"/>
      </w:pPr>
    </w:p>
    <w:p w14:paraId="2819131E" w14:textId="77777777" w:rsidR="00011D29" w:rsidRPr="00217CA0" w:rsidRDefault="00011D29" w:rsidP="00011D29">
      <w:pPr>
        <w:jc w:val="center"/>
      </w:pPr>
      <w:r w:rsidRPr="00217CA0">
        <w:rPr>
          <w:noProof/>
          <w:lang w:eastAsia="en-GB"/>
        </w:rPr>
        <w:drawing>
          <wp:inline distT="0" distB="0" distL="0" distR="0" wp14:anchorId="440386C8" wp14:editId="56568271">
            <wp:extent cx="1431925" cy="1365885"/>
            <wp:effectExtent l="1905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1431925" cy="1365885"/>
                    </a:xfrm>
                    <a:prstGeom prst="rect">
                      <a:avLst/>
                    </a:prstGeom>
                    <a:solidFill>
                      <a:srgbClr val="FFFFFF"/>
                    </a:solidFill>
                    <a:ln w="9525">
                      <a:noFill/>
                      <a:miter lim="800000"/>
                      <a:headEnd/>
                      <a:tailEnd/>
                    </a:ln>
                  </pic:spPr>
                </pic:pic>
              </a:graphicData>
            </a:graphic>
          </wp:inline>
        </w:drawing>
      </w:r>
    </w:p>
    <w:p w14:paraId="64FF20DD" w14:textId="77777777" w:rsidR="00011D29" w:rsidRPr="00217CA0" w:rsidRDefault="00011D29" w:rsidP="00011D29"/>
    <w:p w14:paraId="2A9CBC9E" w14:textId="77777777" w:rsidR="00011D29" w:rsidRPr="00217CA0" w:rsidRDefault="00011D29" w:rsidP="00011D29"/>
    <w:p w14:paraId="59FCB650" w14:textId="77777777" w:rsidR="00011D29" w:rsidRPr="00217CA0" w:rsidRDefault="00011D29" w:rsidP="00011D29"/>
    <w:p w14:paraId="4EEB0EC0" w14:textId="3DE50F18" w:rsidR="00011D29" w:rsidRPr="00217CA0" w:rsidRDefault="00775F3F" w:rsidP="00011D29">
      <w:pPr>
        <w:jc w:val="center"/>
      </w:pPr>
      <w:r>
        <w:t>May</w:t>
      </w:r>
      <w:r w:rsidR="00011D29" w:rsidRPr="00217CA0">
        <w:t xml:space="preserve"> 202</w:t>
      </w:r>
      <w:r w:rsidR="00011D29">
        <w:t>6</w:t>
      </w:r>
    </w:p>
    <w:p w14:paraId="2AA1C6F9" w14:textId="77777777" w:rsidR="00011D29" w:rsidRPr="00217CA0" w:rsidRDefault="00011D29" w:rsidP="00011D29"/>
    <w:p w14:paraId="1B5B1587" w14:textId="77777777" w:rsidR="00011D29" w:rsidRPr="00217CA0" w:rsidRDefault="00011D29" w:rsidP="00011D29"/>
    <w:p w14:paraId="10559212" w14:textId="77777777" w:rsidR="00011D29" w:rsidRPr="00217CA0" w:rsidRDefault="00011D29" w:rsidP="00011D29"/>
    <w:p w14:paraId="3DD16E97" w14:textId="77777777" w:rsidR="00011D29" w:rsidRPr="00217CA0" w:rsidRDefault="00011D29" w:rsidP="00011D29">
      <w:r w:rsidRPr="00217CA0">
        <w:br w:type="page"/>
      </w:r>
    </w:p>
    <w:p w14:paraId="268C7D96" w14:textId="77777777" w:rsidR="00011D29" w:rsidRPr="00217CA0" w:rsidRDefault="00011D29" w:rsidP="00011D29">
      <w:pPr>
        <w:pStyle w:val="TOC1"/>
        <w:rPr>
          <w:sz w:val="32"/>
          <w:szCs w:val="28"/>
        </w:rPr>
      </w:pPr>
      <w:r w:rsidRPr="00217CA0">
        <w:rPr>
          <w:sz w:val="32"/>
          <w:szCs w:val="28"/>
        </w:rPr>
        <w:lastRenderedPageBreak/>
        <w:t>Contents</w:t>
      </w:r>
    </w:p>
    <w:p w14:paraId="76BA9817" w14:textId="77777777" w:rsidR="00011D29" w:rsidRPr="00217CA0" w:rsidRDefault="00011D29" w:rsidP="00011D29">
      <w:pPr>
        <w:pStyle w:val="TOC1"/>
      </w:pPr>
    </w:p>
    <w:p w14:paraId="6F6997D3" w14:textId="77777777" w:rsidR="00011D29" w:rsidRPr="00217CA0" w:rsidRDefault="00011D29" w:rsidP="00011D29">
      <w:pPr>
        <w:pStyle w:val="TOC1"/>
        <w:rPr>
          <w:rFonts w:asciiTheme="minorHAnsi" w:eastAsiaTheme="minorEastAsia" w:hAnsiTheme="minorHAnsi" w:cstheme="minorBidi"/>
          <w:b w:val="0"/>
          <w:bCs w:val="0"/>
          <w:noProof/>
          <w:sz w:val="22"/>
          <w:szCs w:val="22"/>
          <w:lang w:eastAsia="en-GB"/>
        </w:rPr>
      </w:pPr>
      <w:r w:rsidRPr="00217CA0">
        <w:rPr>
          <w:sz w:val="26"/>
          <w:szCs w:val="26"/>
        </w:rPr>
        <w:fldChar w:fldCharType="begin"/>
      </w:r>
      <w:r w:rsidRPr="00217CA0">
        <w:rPr>
          <w:sz w:val="26"/>
          <w:szCs w:val="26"/>
        </w:rPr>
        <w:instrText xml:space="preserve"> TOC \o "1-1" \h \z \u </w:instrText>
      </w:r>
      <w:r w:rsidRPr="00217CA0">
        <w:rPr>
          <w:sz w:val="26"/>
          <w:szCs w:val="26"/>
        </w:rPr>
        <w:fldChar w:fldCharType="separate"/>
      </w:r>
      <w:hyperlink w:anchor="_Toc92364670" w:history="1">
        <w:r w:rsidRPr="00217CA0">
          <w:rPr>
            <w:rStyle w:val="Hyperlink"/>
            <w:noProof/>
          </w:rPr>
          <w:t>Executive Summary</w:t>
        </w:r>
        <w:r w:rsidRPr="00217CA0">
          <w:rPr>
            <w:noProof/>
            <w:webHidden/>
          </w:rPr>
          <w:tab/>
        </w:r>
        <w:r w:rsidRPr="00217CA0">
          <w:rPr>
            <w:noProof/>
            <w:webHidden/>
          </w:rPr>
          <w:fldChar w:fldCharType="begin"/>
        </w:r>
        <w:r w:rsidRPr="00217CA0">
          <w:rPr>
            <w:noProof/>
            <w:webHidden/>
          </w:rPr>
          <w:instrText xml:space="preserve"> PAGEREF _Toc92364670 \h </w:instrText>
        </w:r>
        <w:r w:rsidRPr="00217CA0">
          <w:rPr>
            <w:noProof/>
            <w:webHidden/>
          </w:rPr>
        </w:r>
        <w:r w:rsidRPr="00217CA0">
          <w:rPr>
            <w:noProof/>
            <w:webHidden/>
          </w:rPr>
          <w:fldChar w:fldCharType="separate"/>
        </w:r>
        <w:r>
          <w:rPr>
            <w:noProof/>
            <w:webHidden/>
          </w:rPr>
          <w:t>3</w:t>
        </w:r>
        <w:r w:rsidRPr="00217CA0">
          <w:rPr>
            <w:noProof/>
            <w:webHidden/>
          </w:rPr>
          <w:fldChar w:fldCharType="end"/>
        </w:r>
      </w:hyperlink>
    </w:p>
    <w:p w14:paraId="40F26207" w14:textId="77777777" w:rsidR="00011D29" w:rsidRPr="00217CA0" w:rsidRDefault="00011D29" w:rsidP="00011D29">
      <w:pPr>
        <w:pStyle w:val="TOC1"/>
        <w:rPr>
          <w:rFonts w:asciiTheme="minorHAnsi" w:eastAsiaTheme="minorEastAsia" w:hAnsiTheme="minorHAnsi" w:cstheme="minorBidi"/>
          <w:b w:val="0"/>
          <w:bCs w:val="0"/>
          <w:noProof/>
          <w:sz w:val="22"/>
          <w:szCs w:val="22"/>
          <w:lang w:eastAsia="en-GB"/>
        </w:rPr>
      </w:pPr>
      <w:hyperlink w:anchor="_Toc92364671" w:history="1">
        <w:r w:rsidRPr="00217CA0">
          <w:rPr>
            <w:rStyle w:val="Hyperlink"/>
            <w:noProof/>
          </w:rPr>
          <w:t>1.</w:t>
        </w:r>
        <w:r w:rsidRPr="00217CA0">
          <w:rPr>
            <w:rFonts w:asciiTheme="minorHAnsi" w:eastAsiaTheme="minorEastAsia" w:hAnsiTheme="minorHAnsi" w:cstheme="minorBidi"/>
            <w:b w:val="0"/>
            <w:bCs w:val="0"/>
            <w:noProof/>
            <w:sz w:val="22"/>
            <w:szCs w:val="22"/>
            <w:lang w:eastAsia="en-GB"/>
          </w:rPr>
          <w:tab/>
        </w:r>
        <w:r w:rsidRPr="00217CA0">
          <w:rPr>
            <w:rStyle w:val="Hyperlink"/>
            <w:noProof/>
          </w:rPr>
          <w:t>Introduction</w:t>
        </w:r>
        <w:r w:rsidRPr="00217CA0">
          <w:rPr>
            <w:noProof/>
            <w:webHidden/>
          </w:rPr>
          <w:tab/>
        </w:r>
        <w:r w:rsidRPr="00217CA0">
          <w:rPr>
            <w:noProof/>
            <w:webHidden/>
          </w:rPr>
          <w:fldChar w:fldCharType="begin"/>
        </w:r>
        <w:r w:rsidRPr="00217CA0">
          <w:rPr>
            <w:noProof/>
            <w:webHidden/>
          </w:rPr>
          <w:instrText xml:space="preserve"> PAGEREF _Toc92364671 \h </w:instrText>
        </w:r>
        <w:r w:rsidRPr="00217CA0">
          <w:rPr>
            <w:noProof/>
            <w:webHidden/>
          </w:rPr>
        </w:r>
        <w:r w:rsidRPr="00217CA0">
          <w:rPr>
            <w:noProof/>
            <w:webHidden/>
          </w:rPr>
          <w:fldChar w:fldCharType="separate"/>
        </w:r>
        <w:r>
          <w:rPr>
            <w:noProof/>
            <w:webHidden/>
          </w:rPr>
          <w:t>4</w:t>
        </w:r>
        <w:r w:rsidRPr="00217CA0">
          <w:rPr>
            <w:noProof/>
            <w:webHidden/>
          </w:rPr>
          <w:fldChar w:fldCharType="end"/>
        </w:r>
      </w:hyperlink>
    </w:p>
    <w:p w14:paraId="2DA7816F" w14:textId="77777777" w:rsidR="00011D29" w:rsidRPr="00217CA0" w:rsidRDefault="00011D29" w:rsidP="00011D29">
      <w:pPr>
        <w:pStyle w:val="TOC1"/>
        <w:rPr>
          <w:rFonts w:asciiTheme="minorHAnsi" w:eastAsiaTheme="minorEastAsia" w:hAnsiTheme="minorHAnsi" w:cstheme="minorBidi"/>
          <w:b w:val="0"/>
          <w:bCs w:val="0"/>
          <w:noProof/>
          <w:sz w:val="22"/>
          <w:szCs w:val="22"/>
          <w:lang w:eastAsia="en-GB"/>
        </w:rPr>
      </w:pPr>
      <w:hyperlink w:anchor="_Toc92364672" w:history="1">
        <w:r w:rsidRPr="00217CA0">
          <w:rPr>
            <w:rStyle w:val="Hyperlink"/>
            <w:noProof/>
          </w:rPr>
          <w:t>2.</w:t>
        </w:r>
        <w:r w:rsidRPr="00217CA0">
          <w:rPr>
            <w:rFonts w:asciiTheme="minorHAnsi" w:eastAsiaTheme="minorEastAsia" w:hAnsiTheme="minorHAnsi" w:cstheme="minorBidi"/>
            <w:b w:val="0"/>
            <w:bCs w:val="0"/>
            <w:noProof/>
            <w:sz w:val="22"/>
            <w:szCs w:val="22"/>
            <w:lang w:eastAsia="en-GB"/>
          </w:rPr>
          <w:tab/>
        </w:r>
        <w:r w:rsidRPr="00217CA0">
          <w:rPr>
            <w:rStyle w:val="Hyperlink"/>
            <w:noProof/>
          </w:rPr>
          <w:t>National Park Profile</w:t>
        </w:r>
        <w:r w:rsidRPr="00217CA0">
          <w:rPr>
            <w:noProof/>
            <w:webHidden/>
          </w:rPr>
          <w:tab/>
        </w:r>
        <w:r w:rsidRPr="00217CA0">
          <w:rPr>
            <w:noProof/>
            <w:webHidden/>
          </w:rPr>
          <w:fldChar w:fldCharType="begin"/>
        </w:r>
        <w:r w:rsidRPr="00217CA0">
          <w:rPr>
            <w:noProof/>
            <w:webHidden/>
          </w:rPr>
          <w:instrText xml:space="preserve"> PAGEREF _Toc92364672 \h </w:instrText>
        </w:r>
        <w:r w:rsidRPr="00217CA0">
          <w:rPr>
            <w:noProof/>
            <w:webHidden/>
          </w:rPr>
        </w:r>
        <w:r w:rsidRPr="00217CA0">
          <w:rPr>
            <w:noProof/>
            <w:webHidden/>
          </w:rPr>
          <w:fldChar w:fldCharType="separate"/>
        </w:r>
        <w:r>
          <w:rPr>
            <w:noProof/>
            <w:webHidden/>
          </w:rPr>
          <w:t>8</w:t>
        </w:r>
        <w:r w:rsidRPr="00217CA0">
          <w:rPr>
            <w:noProof/>
            <w:webHidden/>
          </w:rPr>
          <w:fldChar w:fldCharType="end"/>
        </w:r>
      </w:hyperlink>
    </w:p>
    <w:p w14:paraId="0E1D3F77" w14:textId="77777777" w:rsidR="00011D29" w:rsidRPr="00217CA0" w:rsidRDefault="00011D29" w:rsidP="00011D29">
      <w:pPr>
        <w:pStyle w:val="TOC1"/>
        <w:rPr>
          <w:rFonts w:asciiTheme="minorHAnsi" w:eastAsiaTheme="minorEastAsia" w:hAnsiTheme="minorHAnsi" w:cstheme="minorBidi"/>
          <w:b w:val="0"/>
          <w:bCs w:val="0"/>
          <w:noProof/>
          <w:sz w:val="22"/>
          <w:szCs w:val="22"/>
          <w:lang w:eastAsia="en-GB"/>
        </w:rPr>
      </w:pPr>
      <w:hyperlink w:anchor="_Toc92364673" w:history="1">
        <w:r w:rsidRPr="00217CA0">
          <w:rPr>
            <w:rStyle w:val="Hyperlink"/>
            <w:noProof/>
          </w:rPr>
          <w:t>3.</w:t>
        </w:r>
        <w:r w:rsidRPr="00217CA0">
          <w:rPr>
            <w:rFonts w:asciiTheme="minorHAnsi" w:eastAsiaTheme="minorEastAsia" w:hAnsiTheme="minorHAnsi" w:cstheme="minorBidi"/>
            <w:b w:val="0"/>
            <w:bCs w:val="0"/>
            <w:noProof/>
            <w:sz w:val="22"/>
            <w:szCs w:val="22"/>
            <w:lang w:eastAsia="en-GB"/>
          </w:rPr>
          <w:tab/>
        </w:r>
        <w:r w:rsidRPr="00217CA0">
          <w:rPr>
            <w:rStyle w:val="Hyperlink"/>
            <w:noProof/>
          </w:rPr>
          <w:t>Local Development Scheme</w:t>
        </w:r>
        <w:r w:rsidRPr="00217CA0">
          <w:rPr>
            <w:noProof/>
            <w:webHidden/>
          </w:rPr>
          <w:tab/>
        </w:r>
        <w:r w:rsidRPr="00217CA0">
          <w:rPr>
            <w:noProof/>
            <w:webHidden/>
          </w:rPr>
          <w:fldChar w:fldCharType="begin"/>
        </w:r>
        <w:r w:rsidRPr="00217CA0">
          <w:rPr>
            <w:noProof/>
            <w:webHidden/>
          </w:rPr>
          <w:instrText xml:space="preserve"> PAGEREF _Toc92364673 \h </w:instrText>
        </w:r>
        <w:r w:rsidRPr="00217CA0">
          <w:rPr>
            <w:noProof/>
            <w:webHidden/>
          </w:rPr>
        </w:r>
        <w:r w:rsidRPr="00217CA0">
          <w:rPr>
            <w:noProof/>
            <w:webHidden/>
          </w:rPr>
          <w:fldChar w:fldCharType="separate"/>
        </w:r>
        <w:r>
          <w:rPr>
            <w:noProof/>
            <w:webHidden/>
          </w:rPr>
          <w:t>10</w:t>
        </w:r>
        <w:r w:rsidRPr="00217CA0">
          <w:rPr>
            <w:noProof/>
            <w:webHidden/>
          </w:rPr>
          <w:fldChar w:fldCharType="end"/>
        </w:r>
      </w:hyperlink>
    </w:p>
    <w:p w14:paraId="13187E4B" w14:textId="77777777" w:rsidR="00011D29" w:rsidRPr="00217CA0" w:rsidRDefault="00011D29" w:rsidP="00011D29">
      <w:pPr>
        <w:pStyle w:val="TOC1"/>
        <w:rPr>
          <w:rFonts w:asciiTheme="minorHAnsi" w:eastAsiaTheme="minorEastAsia" w:hAnsiTheme="minorHAnsi" w:cstheme="minorBidi"/>
          <w:b w:val="0"/>
          <w:bCs w:val="0"/>
          <w:noProof/>
          <w:sz w:val="22"/>
          <w:szCs w:val="22"/>
          <w:lang w:eastAsia="en-GB"/>
        </w:rPr>
      </w:pPr>
      <w:hyperlink w:anchor="_Toc92364674" w:history="1">
        <w:r w:rsidRPr="00217CA0">
          <w:rPr>
            <w:rStyle w:val="Hyperlink"/>
            <w:noProof/>
          </w:rPr>
          <w:t>4.</w:t>
        </w:r>
        <w:r w:rsidRPr="00217CA0">
          <w:rPr>
            <w:rFonts w:asciiTheme="minorHAnsi" w:eastAsiaTheme="minorEastAsia" w:hAnsiTheme="minorHAnsi" w:cstheme="minorBidi"/>
            <w:b w:val="0"/>
            <w:bCs w:val="0"/>
            <w:noProof/>
            <w:sz w:val="22"/>
            <w:szCs w:val="22"/>
            <w:lang w:eastAsia="en-GB"/>
          </w:rPr>
          <w:tab/>
        </w:r>
        <w:r w:rsidRPr="00217CA0">
          <w:rPr>
            <w:rStyle w:val="Hyperlink"/>
            <w:noProof/>
          </w:rPr>
          <w:t>Protecting and Enhancing the Natural Environment</w:t>
        </w:r>
        <w:r w:rsidRPr="00217CA0">
          <w:rPr>
            <w:noProof/>
            <w:webHidden/>
          </w:rPr>
          <w:tab/>
        </w:r>
        <w:r w:rsidRPr="00217CA0">
          <w:rPr>
            <w:noProof/>
            <w:webHidden/>
          </w:rPr>
          <w:fldChar w:fldCharType="begin"/>
        </w:r>
        <w:r w:rsidRPr="00217CA0">
          <w:rPr>
            <w:noProof/>
            <w:webHidden/>
          </w:rPr>
          <w:instrText xml:space="preserve"> PAGEREF _Toc92364674 \h </w:instrText>
        </w:r>
        <w:r w:rsidRPr="00217CA0">
          <w:rPr>
            <w:noProof/>
            <w:webHidden/>
          </w:rPr>
        </w:r>
        <w:r w:rsidRPr="00217CA0">
          <w:rPr>
            <w:noProof/>
            <w:webHidden/>
          </w:rPr>
          <w:fldChar w:fldCharType="separate"/>
        </w:r>
        <w:r>
          <w:rPr>
            <w:noProof/>
            <w:webHidden/>
          </w:rPr>
          <w:t>12</w:t>
        </w:r>
        <w:r w:rsidRPr="00217CA0">
          <w:rPr>
            <w:noProof/>
            <w:webHidden/>
          </w:rPr>
          <w:fldChar w:fldCharType="end"/>
        </w:r>
      </w:hyperlink>
    </w:p>
    <w:p w14:paraId="2DB1B05B" w14:textId="77777777" w:rsidR="00011D29" w:rsidRPr="00217CA0" w:rsidRDefault="00011D29" w:rsidP="00011D29">
      <w:pPr>
        <w:pStyle w:val="TOC1"/>
        <w:rPr>
          <w:rFonts w:asciiTheme="minorHAnsi" w:eastAsiaTheme="minorEastAsia" w:hAnsiTheme="minorHAnsi" w:cstheme="minorBidi"/>
          <w:b w:val="0"/>
          <w:bCs w:val="0"/>
          <w:noProof/>
          <w:sz w:val="22"/>
          <w:szCs w:val="22"/>
          <w:lang w:eastAsia="en-GB"/>
        </w:rPr>
      </w:pPr>
      <w:hyperlink w:anchor="_Toc92364675" w:history="1">
        <w:r w:rsidRPr="00217CA0">
          <w:rPr>
            <w:rStyle w:val="Hyperlink"/>
            <w:noProof/>
          </w:rPr>
          <w:t>5.</w:t>
        </w:r>
        <w:r w:rsidRPr="00217CA0">
          <w:rPr>
            <w:rFonts w:asciiTheme="minorHAnsi" w:eastAsiaTheme="minorEastAsia" w:hAnsiTheme="minorHAnsi" w:cstheme="minorBidi"/>
            <w:b w:val="0"/>
            <w:bCs w:val="0"/>
            <w:noProof/>
            <w:sz w:val="22"/>
            <w:szCs w:val="22"/>
            <w:lang w:eastAsia="en-GB"/>
          </w:rPr>
          <w:tab/>
        </w:r>
        <w:r w:rsidRPr="00217CA0">
          <w:rPr>
            <w:rStyle w:val="Hyperlink"/>
            <w:noProof/>
          </w:rPr>
          <w:t>Protecting and Enhancing the Built Environment</w:t>
        </w:r>
        <w:r w:rsidRPr="00217CA0">
          <w:rPr>
            <w:noProof/>
            <w:webHidden/>
          </w:rPr>
          <w:tab/>
        </w:r>
        <w:r w:rsidRPr="00217CA0">
          <w:rPr>
            <w:noProof/>
            <w:webHidden/>
          </w:rPr>
          <w:fldChar w:fldCharType="begin"/>
        </w:r>
        <w:r w:rsidRPr="00217CA0">
          <w:rPr>
            <w:noProof/>
            <w:webHidden/>
          </w:rPr>
          <w:instrText xml:space="preserve"> PAGEREF _Toc92364675 \h </w:instrText>
        </w:r>
        <w:r w:rsidRPr="00217CA0">
          <w:rPr>
            <w:noProof/>
            <w:webHidden/>
          </w:rPr>
        </w:r>
        <w:r w:rsidRPr="00217CA0">
          <w:rPr>
            <w:noProof/>
            <w:webHidden/>
          </w:rPr>
          <w:fldChar w:fldCharType="separate"/>
        </w:r>
        <w:r>
          <w:rPr>
            <w:noProof/>
            <w:webHidden/>
          </w:rPr>
          <w:t>15</w:t>
        </w:r>
        <w:r w:rsidRPr="00217CA0">
          <w:rPr>
            <w:noProof/>
            <w:webHidden/>
          </w:rPr>
          <w:fldChar w:fldCharType="end"/>
        </w:r>
      </w:hyperlink>
    </w:p>
    <w:p w14:paraId="14C753E0" w14:textId="77777777" w:rsidR="00011D29" w:rsidRPr="00217CA0" w:rsidRDefault="00011D29" w:rsidP="00011D29">
      <w:pPr>
        <w:pStyle w:val="TOC1"/>
        <w:rPr>
          <w:rFonts w:asciiTheme="minorHAnsi" w:eastAsiaTheme="minorEastAsia" w:hAnsiTheme="minorHAnsi" w:cstheme="minorBidi"/>
          <w:b w:val="0"/>
          <w:bCs w:val="0"/>
          <w:noProof/>
          <w:sz w:val="22"/>
          <w:szCs w:val="22"/>
          <w:lang w:eastAsia="en-GB"/>
        </w:rPr>
      </w:pPr>
      <w:hyperlink w:anchor="_Toc92364676" w:history="1">
        <w:r w:rsidRPr="00217CA0">
          <w:rPr>
            <w:rStyle w:val="Hyperlink"/>
            <w:noProof/>
          </w:rPr>
          <w:t>6.</w:t>
        </w:r>
        <w:r w:rsidRPr="00217CA0">
          <w:rPr>
            <w:rFonts w:asciiTheme="minorHAnsi" w:eastAsiaTheme="minorEastAsia" w:hAnsiTheme="minorHAnsi" w:cstheme="minorBidi"/>
            <w:b w:val="0"/>
            <w:bCs w:val="0"/>
            <w:noProof/>
            <w:sz w:val="22"/>
            <w:szCs w:val="22"/>
            <w:lang w:eastAsia="en-GB"/>
          </w:rPr>
          <w:tab/>
        </w:r>
        <w:r w:rsidRPr="00217CA0">
          <w:rPr>
            <w:rStyle w:val="Hyperlink"/>
            <w:noProof/>
          </w:rPr>
          <w:t>Vibrant Communities</w:t>
        </w:r>
        <w:r w:rsidRPr="00217CA0">
          <w:rPr>
            <w:noProof/>
            <w:webHidden/>
          </w:rPr>
          <w:tab/>
        </w:r>
      </w:hyperlink>
      <w:r>
        <w:rPr>
          <w:noProof/>
        </w:rPr>
        <w:t>20</w:t>
      </w:r>
    </w:p>
    <w:p w14:paraId="3DE9706C" w14:textId="77777777" w:rsidR="00011D29" w:rsidRPr="00217CA0" w:rsidRDefault="00011D29" w:rsidP="00011D29">
      <w:pPr>
        <w:pStyle w:val="TOC1"/>
        <w:rPr>
          <w:rFonts w:asciiTheme="minorHAnsi" w:eastAsiaTheme="minorEastAsia" w:hAnsiTheme="minorHAnsi" w:cstheme="minorBidi"/>
          <w:b w:val="0"/>
          <w:bCs w:val="0"/>
          <w:noProof/>
          <w:sz w:val="22"/>
          <w:szCs w:val="22"/>
          <w:lang w:eastAsia="en-GB"/>
        </w:rPr>
      </w:pPr>
      <w:hyperlink w:anchor="_Toc92364677" w:history="1">
        <w:r w:rsidRPr="00217CA0">
          <w:rPr>
            <w:rStyle w:val="Hyperlink"/>
            <w:noProof/>
          </w:rPr>
          <w:t>7.</w:t>
        </w:r>
        <w:r w:rsidRPr="00217CA0">
          <w:rPr>
            <w:rFonts w:asciiTheme="minorHAnsi" w:eastAsiaTheme="minorEastAsia" w:hAnsiTheme="minorHAnsi" w:cstheme="minorBidi"/>
            <w:b w:val="0"/>
            <w:bCs w:val="0"/>
            <w:noProof/>
            <w:sz w:val="22"/>
            <w:szCs w:val="22"/>
            <w:lang w:eastAsia="en-GB"/>
          </w:rPr>
          <w:tab/>
        </w:r>
        <w:r w:rsidRPr="00217CA0">
          <w:rPr>
            <w:rStyle w:val="Hyperlink"/>
            <w:noProof/>
          </w:rPr>
          <w:t>A Sustainable Local Economy</w:t>
        </w:r>
        <w:r w:rsidRPr="00217CA0">
          <w:rPr>
            <w:noProof/>
            <w:webHidden/>
          </w:rPr>
          <w:tab/>
        </w:r>
        <w:r w:rsidRPr="00217CA0">
          <w:rPr>
            <w:noProof/>
            <w:webHidden/>
          </w:rPr>
          <w:fldChar w:fldCharType="begin"/>
        </w:r>
        <w:r w:rsidRPr="00217CA0">
          <w:rPr>
            <w:noProof/>
            <w:webHidden/>
          </w:rPr>
          <w:instrText xml:space="preserve"> PAGEREF _Toc92364677 \h </w:instrText>
        </w:r>
        <w:r w:rsidRPr="00217CA0">
          <w:rPr>
            <w:noProof/>
            <w:webHidden/>
          </w:rPr>
        </w:r>
        <w:r w:rsidRPr="00217CA0">
          <w:rPr>
            <w:noProof/>
            <w:webHidden/>
          </w:rPr>
          <w:fldChar w:fldCharType="separate"/>
        </w:r>
        <w:r>
          <w:rPr>
            <w:noProof/>
            <w:webHidden/>
          </w:rPr>
          <w:t>29</w:t>
        </w:r>
        <w:r w:rsidRPr="00217CA0">
          <w:rPr>
            <w:noProof/>
            <w:webHidden/>
          </w:rPr>
          <w:fldChar w:fldCharType="end"/>
        </w:r>
      </w:hyperlink>
    </w:p>
    <w:p w14:paraId="3F8AB3FB" w14:textId="77777777" w:rsidR="00011D29" w:rsidRPr="00217CA0" w:rsidRDefault="00011D29" w:rsidP="00011D29">
      <w:pPr>
        <w:pStyle w:val="TOC1"/>
        <w:rPr>
          <w:rFonts w:asciiTheme="minorHAnsi" w:eastAsiaTheme="minorEastAsia" w:hAnsiTheme="minorHAnsi" w:cstheme="minorBidi"/>
          <w:b w:val="0"/>
          <w:bCs w:val="0"/>
          <w:noProof/>
          <w:sz w:val="22"/>
          <w:szCs w:val="22"/>
          <w:lang w:eastAsia="en-GB"/>
        </w:rPr>
      </w:pPr>
      <w:hyperlink w:anchor="_Toc92364678" w:history="1">
        <w:r w:rsidRPr="00217CA0">
          <w:rPr>
            <w:rStyle w:val="Hyperlink"/>
            <w:noProof/>
          </w:rPr>
          <w:t>8.</w:t>
        </w:r>
        <w:r w:rsidRPr="00217CA0">
          <w:rPr>
            <w:rFonts w:asciiTheme="minorHAnsi" w:eastAsiaTheme="minorEastAsia" w:hAnsiTheme="minorHAnsi" w:cstheme="minorBidi"/>
            <w:b w:val="0"/>
            <w:bCs w:val="0"/>
            <w:noProof/>
            <w:sz w:val="22"/>
            <w:szCs w:val="22"/>
            <w:lang w:eastAsia="en-GB"/>
          </w:rPr>
          <w:tab/>
        </w:r>
        <w:r w:rsidRPr="00217CA0">
          <w:rPr>
            <w:rStyle w:val="Hyperlink"/>
            <w:noProof/>
          </w:rPr>
          <w:t>Conclusions</w:t>
        </w:r>
        <w:r w:rsidRPr="00217CA0">
          <w:rPr>
            <w:noProof/>
            <w:webHidden/>
          </w:rPr>
          <w:tab/>
        </w:r>
        <w:r w:rsidRPr="00217CA0">
          <w:rPr>
            <w:noProof/>
            <w:webHidden/>
          </w:rPr>
          <w:fldChar w:fldCharType="begin"/>
        </w:r>
        <w:r w:rsidRPr="00217CA0">
          <w:rPr>
            <w:noProof/>
            <w:webHidden/>
          </w:rPr>
          <w:instrText xml:space="preserve"> PAGEREF _Toc92364678 \h </w:instrText>
        </w:r>
        <w:r w:rsidRPr="00217CA0">
          <w:rPr>
            <w:noProof/>
            <w:webHidden/>
          </w:rPr>
        </w:r>
        <w:r w:rsidRPr="00217CA0">
          <w:rPr>
            <w:noProof/>
            <w:webHidden/>
          </w:rPr>
          <w:fldChar w:fldCharType="separate"/>
        </w:r>
        <w:r>
          <w:rPr>
            <w:noProof/>
            <w:webHidden/>
          </w:rPr>
          <w:t>32</w:t>
        </w:r>
        <w:r w:rsidRPr="00217CA0">
          <w:rPr>
            <w:noProof/>
            <w:webHidden/>
          </w:rPr>
          <w:fldChar w:fldCharType="end"/>
        </w:r>
      </w:hyperlink>
    </w:p>
    <w:p w14:paraId="4727685E" w14:textId="77777777" w:rsidR="00011D29" w:rsidRPr="00217CA0" w:rsidRDefault="00011D29" w:rsidP="00011D29">
      <w:pPr>
        <w:pStyle w:val="TOC1"/>
        <w:rPr>
          <w:rFonts w:asciiTheme="minorHAnsi" w:eastAsiaTheme="minorEastAsia" w:hAnsiTheme="minorHAnsi" w:cstheme="minorBidi"/>
          <w:b w:val="0"/>
          <w:bCs w:val="0"/>
          <w:noProof/>
          <w:sz w:val="22"/>
          <w:szCs w:val="22"/>
          <w:lang w:eastAsia="en-GB"/>
        </w:rPr>
      </w:pPr>
      <w:hyperlink w:anchor="_Toc92364679" w:history="1">
        <w:r w:rsidRPr="00217CA0">
          <w:rPr>
            <w:rStyle w:val="Hyperlink"/>
            <w:noProof/>
          </w:rPr>
          <w:t>APPENDIX 1: Key Local Plan Indicators</w:t>
        </w:r>
        <w:r w:rsidRPr="00217CA0">
          <w:rPr>
            <w:noProof/>
            <w:webHidden/>
          </w:rPr>
          <w:tab/>
        </w:r>
        <w:r w:rsidRPr="00217CA0">
          <w:rPr>
            <w:noProof/>
            <w:webHidden/>
          </w:rPr>
          <w:fldChar w:fldCharType="begin"/>
        </w:r>
        <w:r w:rsidRPr="00217CA0">
          <w:rPr>
            <w:noProof/>
            <w:webHidden/>
          </w:rPr>
          <w:instrText xml:space="preserve"> PAGEREF _Toc92364679 \h </w:instrText>
        </w:r>
        <w:r w:rsidRPr="00217CA0">
          <w:rPr>
            <w:noProof/>
            <w:webHidden/>
          </w:rPr>
        </w:r>
        <w:r w:rsidRPr="00217CA0">
          <w:rPr>
            <w:noProof/>
            <w:webHidden/>
          </w:rPr>
          <w:fldChar w:fldCharType="separate"/>
        </w:r>
        <w:r>
          <w:rPr>
            <w:noProof/>
            <w:webHidden/>
          </w:rPr>
          <w:t>33</w:t>
        </w:r>
        <w:r w:rsidRPr="00217CA0">
          <w:rPr>
            <w:noProof/>
            <w:webHidden/>
          </w:rPr>
          <w:fldChar w:fldCharType="end"/>
        </w:r>
      </w:hyperlink>
    </w:p>
    <w:p w14:paraId="4DDBC33A" w14:textId="77777777" w:rsidR="00011D29" w:rsidRPr="00217CA0" w:rsidRDefault="00011D29" w:rsidP="00011D29">
      <w:pPr>
        <w:pStyle w:val="TOC1"/>
        <w:rPr>
          <w:rFonts w:asciiTheme="minorHAnsi" w:eastAsiaTheme="minorEastAsia" w:hAnsiTheme="minorHAnsi" w:cstheme="minorBidi"/>
          <w:b w:val="0"/>
          <w:bCs w:val="0"/>
          <w:noProof/>
          <w:sz w:val="22"/>
          <w:szCs w:val="22"/>
          <w:lang w:eastAsia="en-GB"/>
        </w:rPr>
      </w:pPr>
      <w:hyperlink w:anchor="_Toc92364680" w:history="1">
        <w:r w:rsidRPr="00217CA0">
          <w:rPr>
            <w:rStyle w:val="Hyperlink"/>
            <w:noProof/>
          </w:rPr>
          <w:t>APPENDIX 2:  Five Year Housing Land Supply</w:t>
        </w:r>
        <w:r w:rsidRPr="00217CA0">
          <w:rPr>
            <w:noProof/>
            <w:webHidden/>
          </w:rPr>
          <w:tab/>
        </w:r>
        <w:r w:rsidRPr="00217CA0">
          <w:rPr>
            <w:noProof/>
            <w:webHidden/>
          </w:rPr>
          <w:fldChar w:fldCharType="begin"/>
        </w:r>
        <w:r w:rsidRPr="00217CA0">
          <w:rPr>
            <w:noProof/>
            <w:webHidden/>
          </w:rPr>
          <w:instrText xml:space="preserve"> PAGEREF _Toc92364680 \h </w:instrText>
        </w:r>
        <w:r w:rsidRPr="00217CA0">
          <w:rPr>
            <w:noProof/>
            <w:webHidden/>
          </w:rPr>
        </w:r>
        <w:r w:rsidRPr="00217CA0">
          <w:rPr>
            <w:noProof/>
            <w:webHidden/>
          </w:rPr>
          <w:fldChar w:fldCharType="separate"/>
        </w:r>
        <w:r>
          <w:rPr>
            <w:noProof/>
            <w:webHidden/>
          </w:rPr>
          <w:t>37</w:t>
        </w:r>
        <w:r w:rsidRPr="00217CA0">
          <w:rPr>
            <w:noProof/>
            <w:webHidden/>
          </w:rPr>
          <w:fldChar w:fldCharType="end"/>
        </w:r>
      </w:hyperlink>
    </w:p>
    <w:p w14:paraId="02DD6330" w14:textId="77777777" w:rsidR="00011D29" w:rsidRPr="00217CA0" w:rsidRDefault="00011D29" w:rsidP="00011D29">
      <w:pPr>
        <w:pStyle w:val="Style1"/>
      </w:pPr>
      <w:r w:rsidRPr="00217CA0">
        <w:fldChar w:fldCharType="end"/>
      </w:r>
    </w:p>
    <w:p w14:paraId="0232D71F" w14:textId="77777777" w:rsidR="00011D29" w:rsidRPr="00217CA0" w:rsidRDefault="00011D29" w:rsidP="00011D29">
      <w:pPr>
        <w:pStyle w:val="Style1"/>
      </w:pPr>
    </w:p>
    <w:p w14:paraId="737379F5" w14:textId="77777777" w:rsidR="00011D29" w:rsidRPr="00217CA0" w:rsidRDefault="00011D29" w:rsidP="00011D29"/>
    <w:p w14:paraId="301A9799" w14:textId="77777777" w:rsidR="00011D29" w:rsidRPr="00217CA0" w:rsidRDefault="00011D29" w:rsidP="00011D29"/>
    <w:p w14:paraId="073694A3" w14:textId="77777777" w:rsidR="00011D29" w:rsidRPr="00217CA0" w:rsidRDefault="00011D29" w:rsidP="00011D29"/>
    <w:p w14:paraId="53F0F2B4" w14:textId="77777777" w:rsidR="00011D29" w:rsidRPr="00217CA0" w:rsidRDefault="00011D29" w:rsidP="00011D29"/>
    <w:p w14:paraId="5D9BB3CA" w14:textId="77777777" w:rsidR="00011D29" w:rsidRPr="00217CA0" w:rsidRDefault="00011D29" w:rsidP="00011D29"/>
    <w:p w14:paraId="394D2267" w14:textId="77777777" w:rsidR="00011D29" w:rsidRPr="00217CA0" w:rsidRDefault="00011D29" w:rsidP="00011D29">
      <w:pPr>
        <w:rPr>
          <w:b/>
          <w:sz w:val="28"/>
          <w:szCs w:val="28"/>
          <w:highlight w:val="yellow"/>
        </w:rPr>
      </w:pPr>
      <w:r w:rsidRPr="00217CA0">
        <w:rPr>
          <w:b/>
          <w:sz w:val="28"/>
          <w:szCs w:val="28"/>
          <w:highlight w:val="yellow"/>
        </w:rPr>
        <w:br w:type="page"/>
      </w:r>
    </w:p>
    <w:p w14:paraId="5F2D90F9" w14:textId="77777777" w:rsidR="00011D29" w:rsidRPr="00217CA0" w:rsidRDefault="00011D29" w:rsidP="00011D29">
      <w:pPr>
        <w:pStyle w:val="Heading1"/>
      </w:pPr>
      <w:bookmarkStart w:id="1" w:name="_Toc92364670"/>
      <w:r w:rsidRPr="00775F3F">
        <w:lastRenderedPageBreak/>
        <w:t>Executive Summary</w:t>
      </w:r>
      <w:bookmarkEnd w:id="1"/>
    </w:p>
    <w:p w14:paraId="721F8C34" w14:textId="77777777" w:rsidR="00011D29" w:rsidRPr="00217CA0" w:rsidRDefault="00011D29" w:rsidP="00011D29">
      <w:pPr>
        <w:ind w:left="360"/>
      </w:pPr>
    </w:p>
    <w:p w14:paraId="3F52885F" w14:textId="77777777" w:rsidR="00011D29" w:rsidRPr="00217CA0" w:rsidRDefault="00011D29" w:rsidP="00011D29">
      <w:pPr>
        <w:ind w:left="360"/>
      </w:pPr>
    </w:p>
    <w:p w14:paraId="5C468A7D" w14:textId="77777777" w:rsidR="00011D29" w:rsidRPr="00217CA0" w:rsidRDefault="00011D29" w:rsidP="00011D29">
      <w:r w:rsidRPr="00217CA0">
        <w:t>The Planning and Compulsory Purchase Act 2004, as amended by the Town and Country Planning (Local Planning) (England) Regulations 2012, requires local planning authorities to produce a monitoring report each year which should contain details of:</w:t>
      </w:r>
    </w:p>
    <w:p w14:paraId="193BBF6B" w14:textId="77777777" w:rsidR="00011D29" w:rsidRPr="00217CA0" w:rsidRDefault="00011D29" w:rsidP="00011D29">
      <w:pPr>
        <w:rPr>
          <w:highlight w:val="yellow"/>
        </w:rPr>
      </w:pPr>
    </w:p>
    <w:p w14:paraId="242B35D4" w14:textId="77777777" w:rsidR="00011D29" w:rsidRPr="00217CA0" w:rsidRDefault="00011D29" w:rsidP="00011D29">
      <w:pPr>
        <w:numPr>
          <w:ilvl w:val="0"/>
          <w:numId w:val="2"/>
        </w:numPr>
        <w:tabs>
          <w:tab w:val="clear" w:pos="720"/>
          <w:tab w:val="num" w:pos="567"/>
        </w:tabs>
        <w:suppressAutoHyphens/>
        <w:ind w:left="567" w:hanging="425"/>
      </w:pPr>
      <w:r w:rsidRPr="00217CA0">
        <w:t xml:space="preserve">the timetable and progress of the documents set out in the Authority’s Local Development Scheme; </w:t>
      </w:r>
    </w:p>
    <w:p w14:paraId="28BCC435" w14:textId="77777777" w:rsidR="00011D29" w:rsidRPr="00217CA0" w:rsidRDefault="00011D29" w:rsidP="00011D29">
      <w:pPr>
        <w:suppressAutoHyphens/>
        <w:ind w:left="567"/>
      </w:pPr>
    </w:p>
    <w:p w14:paraId="6CBFF5F3" w14:textId="77777777" w:rsidR="00011D29" w:rsidRPr="00217CA0" w:rsidRDefault="00011D29" w:rsidP="00011D29">
      <w:pPr>
        <w:numPr>
          <w:ilvl w:val="0"/>
          <w:numId w:val="2"/>
        </w:numPr>
        <w:tabs>
          <w:tab w:val="clear" w:pos="720"/>
          <w:tab w:val="num" w:pos="567"/>
        </w:tabs>
        <w:suppressAutoHyphens/>
        <w:ind w:left="567" w:hanging="425"/>
      </w:pPr>
      <w:r w:rsidRPr="00217CA0">
        <w:t>numbers of net additional dwellings and affordable dwellings;</w:t>
      </w:r>
    </w:p>
    <w:p w14:paraId="1B4B5D2C" w14:textId="77777777" w:rsidR="00011D29" w:rsidRPr="00217CA0" w:rsidRDefault="00011D29" w:rsidP="00011D29">
      <w:pPr>
        <w:pStyle w:val="ListParagraph"/>
      </w:pPr>
    </w:p>
    <w:p w14:paraId="3542180F" w14:textId="77777777" w:rsidR="00011D29" w:rsidRPr="00217CA0" w:rsidRDefault="00011D29" w:rsidP="00011D29">
      <w:pPr>
        <w:numPr>
          <w:ilvl w:val="0"/>
          <w:numId w:val="2"/>
        </w:numPr>
        <w:tabs>
          <w:tab w:val="clear" w:pos="720"/>
          <w:tab w:val="num" w:pos="567"/>
        </w:tabs>
        <w:suppressAutoHyphens/>
        <w:ind w:left="567" w:hanging="425"/>
      </w:pPr>
      <w:r w:rsidRPr="00217CA0">
        <w:t>any neighbourhood development order or neighbourhood development plan that has been ‘made’ by the Authority;</w:t>
      </w:r>
    </w:p>
    <w:p w14:paraId="43A1BE55" w14:textId="77777777" w:rsidR="00011D29" w:rsidRPr="00217CA0" w:rsidRDefault="00011D29" w:rsidP="00011D29">
      <w:pPr>
        <w:ind w:left="142"/>
      </w:pPr>
    </w:p>
    <w:p w14:paraId="2F0F9647" w14:textId="77777777" w:rsidR="00011D29" w:rsidRPr="00217CA0" w:rsidRDefault="00011D29" w:rsidP="00011D29">
      <w:pPr>
        <w:numPr>
          <w:ilvl w:val="0"/>
          <w:numId w:val="2"/>
        </w:numPr>
        <w:tabs>
          <w:tab w:val="clear" w:pos="720"/>
          <w:tab w:val="num" w:pos="567"/>
        </w:tabs>
        <w:suppressAutoHyphens/>
        <w:ind w:left="567" w:hanging="425"/>
      </w:pPr>
      <w:r w:rsidRPr="00217CA0">
        <w:t>the Authority’s co-operation with another local planning authority or relevant body during the monitoring period.</w:t>
      </w:r>
    </w:p>
    <w:p w14:paraId="0404DBA4" w14:textId="77777777" w:rsidR="00011D29" w:rsidRPr="00217CA0" w:rsidRDefault="00011D29" w:rsidP="00011D29">
      <w:pPr>
        <w:rPr>
          <w:highlight w:val="yellow"/>
        </w:rPr>
      </w:pPr>
    </w:p>
    <w:p w14:paraId="496ADEBF" w14:textId="77777777" w:rsidR="00011D29" w:rsidRPr="00217CA0" w:rsidRDefault="00011D29" w:rsidP="00011D29"/>
    <w:p w14:paraId="23F019C2" w14:textId="31970204" w:rsidR="00011D29" w:rsidRPr="00217CA0" w:rsidRDefault="00011D29" w:rsidP="00011D29">
      <w:r w:rsidRPr="00217CA0">
        <w:t xml:space="preserve">This Monitoring Report covers the period </w:t>
      </w:r>
      <w:r w:rsidRPr="00217CA0">
        <w:rPr>
          <w:b/>
        </w:rPr>
        <w:t>1 April 202</w:t>
      </w:r>
      <w:r>
        <w:rPr>
          <w:b/>
        </w:rPr>
        <w:t>4</w:t>
      </w:r>
      <w:r w:rsidRPr="00217CA0">
        <w:rPr>
          <w:b/>
        </w:rPr>
        <w:t xml:space="preserve"> to </w:t>
      </w:r>
      <w:proofErr w:type="gramStart"/>
      <w:r w:rsidRPr="00217CA0">
        <w:rPr>
          <w:b/>
        </w:rPr>
        <w:t>31 March 202</w:t>
      </w:r>
      <w:r>
        <w:rPr>
          <w:b/>
        </w:rPr>
        <w:t>5</w:t>
      </w:r>
      <w:r w:rsidRPr="00217CA0">
        <w:t>, and</w:t>
      </w:r>
      <w:proofErr w:type="gramEnd"/>
      <w:r w:rsidRPr="00217CA0">
        <w:t xml:space="preserve"> focuses on assessing the effectiveness of the policies in the Authority’s adopted Local Plan. It focuses explicitly on planning statistics and related issues and does not seek to replicate data and information that is covered elsewhere, </w:t>
      </w:r>
      <w:proofErr w:type="gramStart"/>
      <w:r w:rsidRPr="00217CA0">
        <w:t>in particular in</w:t>
      </w:r>
      <w:proofErr w:type="gramEnd"/>
      <w:r w:rsidRPr="00217CA0">
        <w:t xml:space="preserve"> the Authority’s State of the Park Report or the Infrastructure Funding Statement. </w:t>
      </w:r>
    </w:p>
    <w:p w14:paraId="4D18EF2F" w14:textId="77777777" w:rsidR="00011D29" w:rsidRPr="00217CA0" w:rsidRDefault="00011D29" w:rsidP="00011D29">
      <w:pPr>
        <w:rPr>
          <w:highlight w:val="yellow"/>
        </w:rPr>
      </w:pPr>
    </w:p>
    <w:p w14:paraId="509CB165" w14:textId="77777777" w:rsidR="00011D29" w:rsidRPr="00F47900" w:rsidRDefault="00011D29" w:rsidP="00011D29">
      <w:r w:rsidRPr="00F47900">
        <w:t xml:space="preserve">Assessment of the policies in the Local Plan indicates that many of the policies continued to be effective and supported the delivery of the National Park’s purposes and socio-economic duty. </w:t>
      </w:r>
    </w:p>
    <w:p w14:paraId="264E48EF" w14:textId="77777777" w:rsidR="00011D29" w:rsidRPr="00D6753C" w:rsidRDefault="00011D29" w:rsidP="00011D29">
      <w:pPr>
        <w:rPr>
          <w:highlight w:val="yellow"/>
        </w:rPr>
      </w:pPr>
    </w:p>
    <w:p w14:paraId="2450B91D" w14:textId="51959A22" w:rsidR="00011D29" w:rsidRPr="00FF687D" w:rsidRDefault="00011D29" w:rsidP="00011D29">
      <w:r w:rsidRPr="00FF687D">
        <w:t xml:space="preserve">There </w:t>
      </w:r>
      <w:r>
        <w:t>continues to be an increase</w:t>
      </w:r>
      <w:r w:rsidRPr="00FF687D">
        <w:t xml:space="preserve"> in housing completions</w:t>
      </w:r>
      <w:r>
        <w:t>, with increases year on year since the Covid pandemic in 2020</w:t>
      </w:r>
      <w:r w:rsidRPr="00FF687D">
        <w:t xml:space="preserve">. This is supplemented by a stock of sites with extant planning permission for housing, with </w:t>
      </w:r>
      <w:proofErr w:type="gramStart"/>
      <w:r>
        <w:t>a number of</w:t>
      </w:r>
      <w:proofErr w:type="gramEnd"/>
      <w:r>
        <w:t xml:space="preserve"> the housing site allocations </w:t>
      </w:r>
      <w:r w:rsidR="00E04834">
        <w:t xml:space="preserve">in the adopted Local Plan </w:t>
      </w:r>
      <w:r w:rsidR="001E0E84">
        <w:t xml:space="preserve">now under construction. </w:t>
      </w:r>
      <w:r w:rsidRPr="00FF687D">
        <w:t xml:space="preserve"> </w:t>
      </w:r>
    </w:p>
    <w:p w14:paraId="47DA6188" w14:textId="77777777" w:rsidR="00011D29" w:rsidRPr="00D6753C" w:rsidRDefault="00011D29" w:rsidP="00011D29">
      <w:pPr>
        <w:rPr>
          <w:highlight w:val="yellow"/>
        </w:rPr>
      </w:pPr>
    </w:p>
    <w:p w14:paraId="1FDC69A3" w14:textId="5F878C6F" w:rsidR="00011D29" w:rsidRDefault="00076326" w:rsidP="00011D29">
      <w:r>
        <w:t>T</w:t>
      </w:r>
      <w:r w:rsidR="00011D29">
        <w:t xml:space="preserve">here was </w:t>
      </w:r>
      <w:r>
        <w:t>a slight increase in</w:t>
      </w:r>
      <w:r w:rsidR="00011D29" w:rsidRPr="000F741F">
        <w:t xml:space="preserve"> employment floorspace this year, </w:t>
      </w:r>
      <w:r>
        <w:t>together with</w:t>
      </w:r>
      <w:r w:rsidR="00011D29" w:rsidRPr="000F741F">
        <w:t xml:space="preserve"> a </w:t>
      </w:r>
      <w:r w:rsidR="00854880">
        <w:t xml:space="preserve">healthy </w:t>
      </w:r>
      <w:r w:rsidR="00011D29" w:rsidRPr="000F741F">
        <w:t xml:space="preserve">stock of sites with extant permission for employment floorspace. </w:t>
      </w:r>
      <w:r w:rsidR="00854880">
        <w:t>Unusually, this year there</w:t>
      </w:r>
      <w:r w:rsidR="00404DE7">
        <w:t xml:space="preserve"> were</w:t>
      </w:r>
      <w:r w:rsidR="00854880">
        <w:t xml:space="preserve"> no losses of office floorspace to residential d</w:t>
      </w:r>
      <w:r w:rsidR="00404DE7">
        <w:t>evelopment.</w:t>
      </w:r>
      <w:r w:rsidR="00011D29" w:rsidRPr="000F741F">
        <w:t xml:space="preserve"> </w:t>
      </w:r>
    </w:p>
    <w:p w14:paraId="5CF45530" w14:textId="77777777" w:rsidR="00404DE7" w:rsidRDefault="00404DE7" w:rsidP="00011D29"/>
    <w:p w14:paraId="35C42404" w14:textId="3645F478" w:rsidR="00404DE7" w:rsidRPr="000F741F" w:rsidRDefault="00404DE7" w:rsidP="00011D29">
      <w:r>
        <w:t xml:space="preserve">The emerging review of the Local Plan policies has </w:t>
      </w:r>
      <w:r w:rsidR="00722416">
        <w:t xml:space="preserve">rolled forward many of those existing policies </w:t>
      </w:r>
      <w:r w:rsidR="00AA4CF0">
        <w:t>in</w:t>
      </w:r>
      <w:r w:rsidR="00722416">
        <w:t xml:space="preserve"> the adopted Local Plan that continue to perform well and remain effective and </w:t>
      </w:r>
      <w:r w:rsidR="00AA4CF0">
        <w:t xml:space="preserve">broadly </w:t>
      </w:r>
      <w:r w:rsidR="00722416">
        <w:t xml:space="preserve">aligned with national planning policy. However, the report also highlights where </w:t>
      </w:r>
      <w:r w:rsidR="00AA4CF0">
        <w:t xml:space="preserve">recent </w:t>
      </w:r>
      <w:r w:rsidR="00722416">
        <w:t xml:space="preserve">evidence base studies have indicated a refresh of policies, or consideration of a </w:t>
      </w:r>
      <w:r w:rsidR="0046602B">
        <w:t>different approach</w:t>
      </w:r>
      <w:r w:rsidR="00011EC5">
        <w:t xml:space="preserve"> would be appropriate.</w:t>
      </w:r>
    </w:p>
    <w:p w14:paraId="65CD53C6" w14:textId="77777777" w:rsidR="00011D29" w:rsidRPr="00D6753C" w:rsidRDefault="00011D29" w:rsidP="00011D29">
      <w:pPr>
        <w:rPr>
          <w:highlight w:val="yellow"/>
        </w:rPr>
      </w:pPr>
    </w:p>
    <w:p w14:paraId="1113D0AA" w14:textId="77777777" w:rsidR="00011D29" w:rsidRPr="00217CA0" w:rsidRDefault="00011D29" w:rsidP="00011D29">
      <w:r w:rsidRPr="00217CA0">
        <w:br w:type="page"/>
      </w:r>
    </w:p>
    <w:p w14:paraId="4038B54B" w14:textId="77777777" w:rsidR="00011D29" w:rsidRPr="00217CA0" w:rsidRDefault="00011D29" w:rsidP="00011D29">
      <w:pPr>
        <w:pStyle w:val="Heading1"/>
        <w:rPr>
          <w:rStyle w:val="Heading1Char"/>
          <w:b/>
          <w:bCs/>
        </w:rPr>
      </w:pPr>
      <w:bookmarkStart w:id="2" w:name="_Toc92364671"/>
      <w:r w:rsidRPr="00217CA0">
        <w:rPr>
          <w:szCs w:val="28"/>
        </w:rPr>
        <w:lastRenderedPageBreak/>
        <w:t>1.</w:t>
      </w:r>
      <w:r w:rsidRPr="00217CA0">
        <w:rPr>
          <w:szCs w:val="28"/>
        </w:rPr>
        <w:tab/>
      </w:r>
      <w:r w:rsidRPr="00217CA0">
        <w:rPr>
          <w:rStyle w:val="Heading1Char"/>
          <w:b/>
          <w:bCs/>
        </w:rPr>
        <w:t>Introduction</w:t>
      </w:r>
      <w:bookmarkEnd w:id="2"/>
    </w:p>
    <w:p w14:paraId="5A8FC62D" w14:textId="77777777" w:rsidR="00011D29" w:rsidRPr="00217CA0" w:rsidRDefault="00011D29" w:rsidP="00011D29"/>
    <w:p w14:paraId="58B29492" w14:textId="77777777" w:rsidR="00011D29" w:rsidRPr="00217CA0" w:rsidRDefault="00011D29" w:rsidP="00011D29">
      <w:pPr>
        <w:numPr>
          <w:ilvl w:val="1"/>
          <w:numId w:val="3"/>
        </w:numPr>
        <w:tabs>
          <w:tab w:val="clear" w:pos="360"/>
        </w:tabs>
        <w:suppressAutoHyphens/>
        <w:ind w:left="567" w:hanging="567"/>
      </w:pPr>
      <w:r w:rsidRPr="00FA2BDE">
        <w:t>The</w:t>
      </w:r>
      <w:r w:rsidRPr="00217CA0">
        <w:t xml:space="preserve"> Authority is responsible for spatial planning, minerals and waste planning, development control and enforcement, and other related regulatory functions within the National Park.</w:t>
      </w:r>
    </w:p>
    <w:p w14:paraId="55FA9847" w14:textId="77777777" w:rsidR="00011D29" w:rsidRPr="00217CA0" w:rsidRDefault="00011D29" w:rsidP="00011D29">
      <w:pPr>
        <w:ind w:left="567" w:hanging="567"/>
        <w:rPr>
          <w:sz w:val="22"/>
        </w:rPr>
      </w:pPr>
    </w:p>
    <w:p w14:paraId="09B0C393" w14:textId="77777777" w:rsidR="00011D29" w:rsidRPr="00217CA0" w:rsidRDefault="00011D29" w:rsidP="00011D29">
      <w:pPr>
        <w:numPr>
          <w:ilvl w:val="1"/>
          <w:numId w:val="3"/>
        </w:numPr>
        <w:tabs>
          <w:tab w:val="clear" w:pos="360"/>
        </w:tabs>
        <w:suppressAutoHyphens/>
        <w:ind w:left="567" w:hanging="567"/>
      </w:pPr>
      <w:r w:rsidRPr="00FA2BDE">
        <w:t>The</w:t>
      </w:r>
      <w:r w:rsidRPr="00217CA0">
        <w:t xml:space="preserve"> Planning and Compulsory Purchase Act 2004, as amended by the Town and Country Planning (Local Planning) (England) Regulations 2012 requires every local planning authority to produce a monitoring report each year. This should contain information on </w:t>
      </w:r>
      <w:proofErr w:type="gramStart"/>
      <w:r w:rsidRPr="00217CA0">
        <w:t>a number of</w:t>
      </w:r>
      <w:proofErr w:type="gramEnd"/>
      <w:r w:rsidRPr="00217CA0">
        <w:t xml:space="preserve"> specific issues including the progress of the documents in the Authority’s Local Development Scheme and general monitoring data including net additional dwellings.  </w:t>
      </w:r>
    </w:p>
    <w:p w14:paraId="5D4B8178" w14:textId="77777777" w:rsidR="00011D29" w:rsidRPr="00217CA0" w:rsidRDefault="00011D29" w:rsidP="00011D29">
      <w:pPr>
        <w:pStyle w:val="ListParagraph"/>
        <w:ind w:left="567" w:hanging="567"/>
        <w:rPr>
          <w:sz w:val="22"/>
        </w:rPr>
      </w:pPr>
    </w:p>
    <w:p w14:paraId="34B2B2BC" w14:textId="14163946" w:rsidR="00011D29" w:rsidRPr="00217CA0" w:rsidRDefault="00011D29" w:rsidP="00011D29">
      <w:pPr>
        <w:numPr>
          <w:ilvl w:val="1"/>
          <w:numId w:val="3"/>
        </w:numPr>
        <w:tabs>
          <w:tab w:val="clear" w:pos="360"/>
        </w:tabs>
        <w:suppressAutoHyphens/>
        <w:ind w:left="567" w:hanging="567"/>
      </w:pPr>
      <w:r w:rsidRPr="00FA2BDE">
        <w:t>The</w:t>
      </w:r>
      <w:r w:rsidRPr="00217CA0">
        <w:t xml:space="preserve"> monitoring data set out in this report relate to the period </w:t>
      </w:r>
      <w:r w:rsidRPr="00217CA0">
        <w:rPr>
          <w:b/>
          <w:bCs/>
        </w:rPr>
        <w:t>1 April 202</w:t>
      </w:r>
      <w:r>
        <w:rPr>
          <w:b/>
          <w:bCs/>
        </w:rPr>
        <w:t>4</w:t>
      </w:r>
      <w:r w:rsidRPr="00217CA0">
        <w:rPr>
          <w:b/>
          <w:bCs/>
        </w:rPr>
        <w:t xml:space="preserve"> to 31 March 202</w:t>
      </w:r>
      <w:r>
        <w:rPr>
          <w:b/>
          <w:bCs/>
        </w:rPr>
        <w:t>5</w:t>
      </w:r>
      <w:r w:rsidRPr="00217CA0">
        <w:t xml:space="preserve">, and, unless otherwise stated, refers to the whole of the National Park. The basis for the monitoring data is the list of indicators in the Authority's adopted Local Plan (2019), </w:t>
      </w:r>
      <w:proofErr w:type="gramStart"/>
      <w:r w:rsidRPr="00217CA0">
        <w:t>in order to</w:t>
      </w:r>
      <w:proofErr w:type="gramEnd"/>
      <w:r w:rsidRPr="00217CA0">
        <w:t xml:space="preserve"> assess the effectiveness of those planning policies. A summary of these indicators and the monitoring results is set out in Appendix 1.</w:t>
      </w:r>
    </w:p>
    <w:p w14:paraId="467F9D7B" w14:textId="77777777" w:rsidR="00011D29" w:rsidRPr="00217CA0" w:rsidRDefault="00011D29" w:rsidP="00011D29">
      <w:pPr>
        <w:suppressAutoHyphens/>
      </w:pPr>
    </w:p>
    <w:p w14:paraId="28C94097" w14:textId="77777777" w:rsidR="00011D29" w:rsidRPr="00217CA0" w:rsidRDefault="00011D29" w:rsidP="00011D29">
      <w:pPr>
        <w:pStyle w:val="Heading2"/>
        <w:ind w:firstLine="567"/>
      </w:pPr>
      <w:r w:rsidRPr="00011EC5">
        <w:t>Development</w:t>
      </w:r>
      <w:r w:rsidRPr="00217CA0">
        <w:t xml:space="preserve"> Plan</w:t>
      </w:r>
    </w:p>
    <w:p w14:paraId="4BBFB094" w14:textId="77777777" w:rsidR="00011D29" w:rsidRPr="00217CA0" w:rsidRDefault="00011D29" w:rsidP="00011D29">
      <w:pPr>
        <w:pStyle w:val="ListParagraph"/>
        <w:rPr>
          <w:sz w:val="18"/>
        </w:rPr>
      </w:pPr>
    </w:p>
    <w:p w14:paraId="13E601CC" w14:textId="77777777" w:rsidR="00011D29" w:rsidRPr="00217CA0" w:rsidRDefault="00011D29" w:rsidP="00011D29">
      <w:pPr>
        <w:numPr>
          <w:ilvl w:val="1"/>
          <w:numId w:val="3"/>
        </w:numPr>
        <w:tabs>
          <w:tab w:val="clear" w:pos="360"/>
        </w:tabs>
        <w:suppressAutoHyphens/>
        <w:ind w:left="567" w:hanging="567"/>
      </w:pPr>
      <w:r w:rsidRPr="00FA2BDE">
        <w:t>During</w:t>
      </w:r>
      <w:r w:rsidRPr="00217CA0">
        <w:t xml:space="preserve"> the period of this monitoring report the Development Plan for the National Park comprised the following:</w:t>
      </w:r>
    </w:p>
    <w:p w14:paraId="79DFB564" w14:textId="77777777" w:rsidR="00011D29" w:rsidRPr="00217CA0" w:rsidRDefault="00011D29" w:rsidP="00011D29">
      <w:pPr>
        <w:contextualSpacing/>
        <w:rPr>
          <w:sz w:val="10"/>
          <w:szCs w:val="10"/>
        </w:rPr>
      </w:pPr>
    </w:p>
    <w:p w14:paraId="163EA5B5" w14:textId="77777777" w:rsidR="00011D29" w:rsidRPr="00217CA0" w:rsidRDefault="00011D29" w:rsidP="00011D29">
      <w:pPr>
        <w:pStyle w:val="ListParagraph"/>
        <w:numPr>
          <w:ilvl w:val="0"/>
          <w:numId w:val="6"/>
        </w:numPr>
        <w:suppressAutoHyphens/>
      </w:pPr>
      <w:r w:rsidRPr="00217CA0">
        <w:t xml:space="preserve">New Forest National Park Local Plan 2016 – 2036 (2019) </w:t>
      </w:r>
    </w:p>
    <w:p w14:paraId="47DE4A33" w14:textId="77777777" w:rsidR="00C55520" w:rsidRDefault="00C55520" w:rsidP="00C55520">
      <w:pPr>
        <w:pStyle w:val="ListParagraph"/>
        <w:numPr>
          <w:ilvl w:val="0"/>
          <w:numId w:val="6"/>
        </w:numPr>
        <w:suppressAutoHyphens/>
      </w:pPr>
      <w:r w:rsidRPr="00217CA0">
        <w:t xml:space="preserve">Hampshire Minerals and Waste Plan (2013) </w:t>
      </w:r>
    </w:p>
    <w:p w14:paraId="3A0E87B7" w14:textId="77777777" w:rsidR="00C55520" w:rsidRPr="00217CA0" w:rsidRDefault="00C55520" w:rsidP="00C55520">
      <w:pPr>
        <w:pStyle w:val="ListParagraph"/>
        <w:suppressAutoHyphens/>
        <w:ind w:left="1470"/>
      </w:pPr>
    </w:p>
    <w:p w14:paraId="7C67C546" w14:textId="77777777" w:rsidR="00011D29" w:rsidRPr="00217CA0" w:rsidRDefault="00011D29" w:rsidP="00011D29">
      <w:pPr>
        <w:pStyle w:val="ListParagraph"/>
        <w:numPr>
          <w:ilvl w:val="0"/>
          <w:numId w:val="6"/>
        </w:numPr>
        <w:suppressAutoHyphens/>
        <w:rPr>
          <w:i/>
          <w:iCs/>
        </w:rPr>
      </w:pPr>
      <w:r w:rsidRPr="00217CA0">
        <w:t xml:space="preserve">Hythe and Dibden Neighbourhood Development Plan 2018 – 2026 – </w:t>
      </w:r>
      <w:r w:rsidRPr="00217CA0">
        <w:rPr>
          <w:i/>
          <w:iCs/>
        </w:rPr>
        <w:t>covering that part of the National Park within Hythe &amp; Dibden Parish</w:t>
      </w:r>
    </w:p>
    <w:p w14:paraId="34081B4C" w14:textId="77777777" w:rsidR="00011D29" w:rsidRPr="008420C3" w:rsidRDefault="00011D29" w:rsidP="00011D29">
      <w:pPr>
        <w:pStyle w:val="ListParagraph"/>
        <w:numPr>
          <w:ilvl w:val="0"/>
          <w:numId w:val="6"/>
        </w:numPr>
        <w:suppressAutoHyphens/>
        <w:rPr>
          <w:i/>
          <w:iCs/>
        </w:rPr>
      </w:pPr>
      <w:r w:rsidRPr="00217CA0">
        <w:t>New Milton Neighbourhood Plan 2016 - 2036</w:t>
      </w:r>
      <w:r w:rsidRPr="00217CA0">
        <w:rPr>
          <w:i/>
          <w:iCs/>
        </w:rPr>
        <w:t xml:space="preserve"> - covering that part of the National Park within New Milton Parish </w:t>
      </w:r>
    </w:p>
    <w:p w14:paraId="0C101CFE" w14:textId="67F486CA" w:rsidR="008420C3" w:rsidRPr="00BE62F9" w:rsidRDefault="008420C3" w:rsidP="00011D29">
      <w:pPr>
        <w:pStyle w:val="ListParagraph"/>
        <w:numPr>
          <w:ilvl w:val="0"/>
          <w:numId w:val="6"/>
        </w:numPr>
        <w:suppressAutoHyphens/>
        <w:rPr>
          <w:i/>
          <w:iCs/>
        </w:rPr>
      </w:pPr>
      <w:r>
        <w:t>Wellow Neighbourhood Plan</w:t>
      </w:r>
      <w:r w:rsidR="0060797F">
        <w:t xml:space="preserve"> </w:t>
      </w:r>
      <w:r w:rsidR="00D33CBF">
        <w:t xml:space="preserve">2016 </w:t>
      </w:r>
      <w:r w:rsidR="00B14EF5">
        <w:t>–</w:t>
      </w:r>
      <w:r w:rsidR="00D33CBF">
        <w:t xml:space="preserve"> 2036</w:t>
      </w:r>
      <w:r w:rsidR="00B14EF5">
        <w:t xml:space="preserve"> - </w:t>
      </w:r>
      <w:r w:rsidR="00B14EF5" w:rsidRPr="00217CA0">
        <w:rPr>
          <w:i/>
          <w:iCs/>
        </w:rPr>
        <w:t>covering that part of the National Park within</w:t>
      </w:r>
      <w:r w:rsidR="00A05DA8">
        <w:rPr>
          <w:i/>
          <w:iCs/>
        </w:rPr>
        <w:t xml:space="preserve"> Wellow Parish</w:t>
      </w:r>
    </w:p>
    <w:p w14:paraId="58F91F52" w14:textId="59FCD914" w:rsidR="00BE62F9" w:rsidRPr="00217CA0" w:rsidRDefault="00BE62F9" w:rsidP="00011D29">
      <w:pPr>
        <w:pStyle w:val="ListParagraph"/>
        <w:numPr>
          <w:ilvl w:val="0"/>
          <w:numId w:val="6"/>
        </w:numPr>
        <w:suppressAutoHyphens/>
        <w:rPr>
          <w:i/>
          <w:iCs/>
        </w:rPr>
      </w:pPr>
      <w:r>
        <w:t xml:space="preserve">Ringwood Neighbourhood Plan </w:t>
      </w:r>
      <w:r w:rsidR="003B3E20">
        <w:t xml:space="preserve">2023 </w:t>
      </w:r>
      <w:r w:rsidR="00526A51">
        <w:t>–</w:t>
      </w:r>
      <w:r w:rsidR="003B3E20">
        <w:t xml:space="preserve"> </w:t>
      </w:r>
      <w:r w:rsidR="00526A51">
        <w:t xml:space="preserve">2036 </w:t>
      </w:r>
      <w:r>
        <w:t xml:space="preserve">– </w:t>
      </w:r>
      <w:r w:rsidRPr="00217CA0">
        <w:rPr>
          <w:i/>
          <w:iCs/>
        </w:rPr>
        <w:t>covering that part of the National Park within</w:t>
      </w:r>
      <w:r>
        <w:rPr>
          <w:i/>
          <w:iCs/>
        </w:rPr>
        <w:t xml:space="preserve"> Ringwood </w:t>
      </w:r>
      <w:r w:rsidR="003E15EF">
        <w:rPr>
          <w:i/>
          <w:iCs/>
        </w:rPr>
        <w:t>parish</w:t>
      </w:r>
    </w:p>
    <w:p w14:paraId="044F8B98" w14:textId="77777777" w:rsidR="00011D29" w:rsidRPr="00217CA0" w:rsidRDefault="00011D29" w:rsidP="00011D29">
      <w:pPr>
        <w:pStyle w:val="NormalWeb"/>
        <w:shd w:val="clear" w:color="auto" w:fill="FFFFFF"/>
        <w:spacing w:before="0" w:after="0"/>
        <w:ind w:left="709"/>
        <w:jc w:val="both"/>
        <w:rPr>
          <w:rFonts w:ascii="Arial" w:hAnsi="Arial" w:cs="Arial"/>
          <w:lang w:val="en-GB"/>
        </w:rPr>
      </w:pPr>
    </w:p>
    <w:p w14:paraId="7AAB0707" w14:textId="77777777" w:rsidR="00011D29" w:rsidRPr="00217CA0" w:rsidRDefault="00011D29" w:rsidP="00011D29">
      <w:pPr>
        <w:pStyle w:val="Heading2"/>
        <w:ind w:firstLine="567"/>
      </w:pPr>
      <w:r w:rsidRPr="00217CA0">
        <w:t>Duty to cooperate</w:t>
      </w:r>
    </w:p>
    <w:p w14:paraId="0E399C52" w14:textId="77777777" w:rsidR="00011D29" w:rsidRPr="00217CA0" w:rsidRDefault="00011D29" w:rsidP="00011D29">
      <w:pPr>
        <w:pStyle w:val="NormalWeb"/>
        <w:shd w:val="clear" w:color="auto" w:fill="FFFFFF"/>
        <w:spacing w:before="0" w:after="0"/>
        <w:ind w:left="709"/>
        <w:jc w:val="both"/>
        <w:rPr>
          <w:rFonts w:ascii="Arial" w:hAnsi="Arial" w:cs="Arial"/>
          <w:lang w:val="en-GB"/>
        </w:rPr>
      </w:pPr>
    </w:p>
    <w:p w14:paraId="532EA42B" w14:textId="0A151E7B" w:rsidR="00011D29" w:rsidRDefault="00011D29" w:rsidP="00011D29">
      <w:pPr>
        <w:pStyle w:val="NormalWeb"/>
        <w:numPr>
          <w:ilvl w:val="1"/>
          <w:numId w:val="3"/>
        </w:numPr>
        <w:shd w:val="clear" w:color="auto" w:fill="FFFFFF" w:themeFill="background1"/>
        <w:tabs>
          <w:tab w:val="clear" w:pos="360"/>
        </w:tabs>
        <w:spacing w:before="0" w:after="0"/>
        <w:ind w:left="567" w:hanging="567"/>
        <w:rPr>
          <w:rFonts w:ascii="Arial" w:hAnsi="Arial" w:cs="Arial"/>
          <w:lang w:val="en-GB"/>
        </w:rPr>
      </w:pPr>
      <w:r w:rsidRPr="003D7A96">
        <w:rPr>
          <w:rFonts w:ascii="Arial" w:hAnsi="Arial" w:cs="Arial"/>
          <w:lang w:val="en-GB"/>
        </w:rPr>
        <w:t>The</w:t>
      </w:r>
      <w:r w:rsidRPr="00217CA0">
        <w:rPr>
          <w:rFonts w:ascii="Arial" w:hAnsi="Arial" w:cs="Arial"/>
          <w:lang w:val="en-GB"/>
        </w:rPr>
        <w:t xml:space="preserve"> Localism Act 2011 introduced a ‘duty to cooperate’ on strategic planning matters (defined as those issues affecting more than one planning area) applying to local planning authorities and a range of other organisations and agencies.  The evidence provided below, of activities undertaken in 202</w:t>
      </w:r>
      <w:r>
        <w:rPr>
          <w:rFonts w:ascii="Arial" w:hAnsi="Arial" w:cs="Arial"/>
          <w:lang w:val="en-GB"/>
        </w:rPr>
        <w:t>4</w:t>
      </w:r>
      <w:r w:rsidRPr="00217CA0">
        <w:rPr>
          <w:rFonts w:ascii="Arial" w:hAnsi="Arial" w:cs="Arial"/>
          <w:lang w:val="en-GB"/>
        </w:rPr>
        <w:t>/2</w:t>
      </w:r>
      <w:r>
        <w:rPr>
          <w:rFonts w:ascii="Arial" w:hAnsi="Arial" w:cs="Arial"/>
          <w:lang w:val="en-GB"/>
        </w:rPr>
        <w:t>5</w:t>
      </w:r>
      <w:r w:rsidRPr="00217CA0">
        <w:rPr>
          <w:rFonts w:ascii="Arial" w:hAnsi="Arial" w:cs="Arial"/>
          <w:lang w:val="en-GB"/>
        </w:rPr>
        <w:t xml:space="preserve">, demonstrates the Authority’s commitment and actions in respect of its ‘duty to co-operate’ during the monitoring period.   </w:t>
      </w:r>
    </w:p>
    <w:p w14:paraId="74F9E3B8" w14:textId="77777777" w:rsidR="00387FAB" w:rsidRDefault="00387FAB" w:rsidP="00387FAB">
      <w:pPr>
        <w:pStyle w:val="NormalWeb"/>
        <w:shd w:val="clear" w:color="auto" w:fill="FFFFFF" w:themeFill="background1"/>
        <w:spacing w:before="0" w:after="0"/>
        <w:ind w:left="567"/>
        <w:rPr>
          <w:rFonts w:ascii="Arial" w:hAnsi="Arial" w:cs="Arial"/>
          <w:lang w:val="en-GB"/>
        </w:rPr>
      </w:pPr>
    </w:p>
    <w:p w14:paraId="78A4C9A7" w14:textId="3B4B056E" w:rsidR="00387FAB" w:rsidRPr="00217CA0" w:rsidRDefault="00387FAB" w:rsidP="00011D29">
      <w:pPr>
        <w:pStyle w:val="NormalWeb"/>
        <w:numPr>
          <w:ilvl w:val="1"/>
          <w:numId w:val="3"/>
        </w:numPr>
        <w:shd w:val="clear" w:color="auto" w:fill="FFFFFF" w:themeFill="background1"/>
        <w:tabs>
          <w:tab w:val="clear" w:pos="360"/>
        </w:tabs>
        <w:spacing w:before="0" w:after="0"/>
        <w:ind w:left="567" w:hanging="567"/>
        <w:rPr>
          <w:rFonts w:ascii="Arial" w:hAnsi="Arial" w:cs="Arial"/>
          <w:lang w:val="en-GB"/>
        </w:rPr>
      </w:pPr>
      <w:r>
        <w:rPr>
          <w:rFonts w:ascii="Arial" w:hAnsi="Arial" w:cs="Arial"/>
          <w:lang w:val="en-GB"/>
        </w:rPr>
        <w:t xml:space="preserve">In </w:t>
      </w:r>
      <w:r w:rsidRPr="003D7A96">
        <w:rPr>
          <w:rFonts w:ascii="Arial" w:hAnsi="Arial" w:cs="Arial"/>
          <w:lang w:val="en-GB"/>
        </w:rPr>
        <w:t>November</w:t>
      </w:r>
      <w:r>
        <w:rPr>
          <w:rFonts w:ascii="Arial" w:hAnsi="Arial" w:cs="Arial"/>
          <w:lang w:val="en-GB"/>
        </w:rPr>
        <w:t xml:space="preserve"> 2025 the government announced that</w:t>
      </w:r>
      <w:r w:rsidR="000A7C74">
        <w:rPr>
          <w:rFonts w:ascii="Arial" w:hAnsi="Arial" w:cs="Arial"/>
          <w:lang w:val="en-GB"/>
        </w:rPr>
        <w:t xml:space="preserve"> local plans being progressed under the current plan-making system will not be required to meet </w:t>
      </w:r>
      <w:r w:rsidR="000A7C74">
        <w:rPr>
          <w:rFonts w:ascii="Arial" w:hAnsi="Arial" w:cs="Arial"/>
          <w:lang w:val="en-GB"/>
        </w:rPr>
        <w:lastRenderedPageBreak/>
        <w:t xml:space="preserve">the statutory duty to cooperate. </w:t>
      </w:r>
      <w:r w:rsidR="007D1E1D">
        <w:rPr>
          <w:rFonts w:ascii="Arial" w:hAnsi="Arial" w:cs="Arial"/>
          <w:lang w:val="en-GB"/>
        </w:rPr>
        <w:t xml:space="preserve">However, local planning authorities are expected to </w:t>
      </w:r>
      <w:r w:rsidR="007D1E1D" w:rsidRPr="007D1E1D">
        <w:rPr>
          <w:rFonts w:ascii="Arial" w:hAnsi="Arial" w:cs="Arial"/>
          <w:lang w:val="en-GB"/>
        </w:rPr>
        <w:t>continue to collaborate across their boundaries, including on unmet development needs from neighbouring areas</w:t>
      </w:r>
      <w:r w:rsidR="00B303CD">
        <w:rPr>
          <w:rFonts w:ascii="Arial" w:hAnsi="Arial" w:cs="Arial"/>
          <w:lang w:val="en-GB"/>
        </w:rPr>
        <w:t xml:space="preserve"> and demonstrate effective co-operation</w:t>
      </w:r>
      <w:r w:rsidR="00E7544A">
        <w:rPr>
          <w:rFonts w:ascii="Arial" w:hAnsi="Arial" w:cs="Arial"/>
          <w:lang w:val="en-GB"/>
        </w:rPr>
        <w:t xml:space="preserve"> on strategic issues</w:t>
      </w:r>
      <w:r w:rsidR="00B303CD">
        <w:rPr>
          <w:rFonts w:ascii="Arial" w:hAnsi="Arial" w:cs="Arial"/>
          <w:lang w:val="en-GB"/>
        </w:rPr>
        <w:t>.</w:t>
      </w:r>
    </w:p>
    <w:p w14:paraId="3F5CF02B" w14:textId="77777777" w:rsidR="00011D29" w:rsidRPr="00217CA0" w:rsidRDefault="00011D29" w:rsidP="00011D29">
      <w:pPr>
        <w:pStyle w:val="NormalWeb"/>
        <w:shd w:val="clear" w:color="auto" w:fill="FFFFFF"/>
        <w:spacing w:before="0" w:after="0"/>
        <w:ind w:left="709"/>
        <w:rPr>
          <w:rFonts w:ascii="Arial" w:hAnsi="Arial" w:cs="Arial"/>
          <w:lang w:val="en-GB"/>
        </w:rPr>
      </w:pPr>
    </w:p>
    <w:p w14:paraId="6B7686B2" w14:textId="77777777" w:rsidR="00011D29" w:rsidRPr="00217CA0" w:rsidRDefault="00011D29" w:rsidP="00011D29">
      <w:pPr>
        <w:pStyle w:val="Heading3"/>
      </w:pPr>
      <w:r w:rsidRPr="008E2286">
        <w:t>Joint</w:t>
      </w:r>
      <w:r w:rsidRPr="00217CA0">
        <w:t xml:space="preserve"> working on Minerals and Waste issues</w:t>
      </w:r>
    </w:p>
    <w:p w14:paraId="3D1A5C24" w14:textId="77777777" w:rsidR="00011D29" w:rsidRPr="00217CA0" w:rsidRDefault="00011D29" w:rsidP="00011D29"/>
    <w:p w14:paraId="374DA61F" w14:textId="637F526F" w:rsidR="00011D29" w:rsidRPr="00217CA0" w:rsidRDefault="00011D29" w:rsidP="00011D29">
      <w:pPr>
        <w:pStyle w:val="NormalWeb"/>
        <w:numPr>
          <w:ilvl w:val="1"/>
          <w:numId w:val="3"/>
        </w:numPr>
        <w:shd w:val="clear" w:color="auto" w:fill="FFFFFF"/>
        <w:tabs>
          <w:tab w:val="clear" w:pos="360"/>
        </w:tabs>
        <w:spacing w:before="0" w:after="0"/>
        <w:ind w:left="567" w:hanging="567"/>
        <w:rPr>
          <w:rFonts w:ascii="Arial" w:hAnsi="Arial" w:cs="Arial"/>
          <w:lang w:val="en-GB"/>
        </w:rPr>
      </w:pPr>
      <w:r w:rsidRPr="003D7A96">
        <w:rPr>
          <w:rFonts w:ascii="Arial" w:hAnsi="Arial" w:cs="Arial"/>
          <w:lang w:val="en-GB"/>
        </w:rPr>
        <w:t>Following</w:t>
      </w:r>
      <w:r w:rsidRPr="00217CA0">
        <w:rPr>
          <w:rFonts w:ascii="Arial" w:hAnsi="Arial" w:cs="Arial"/>
          <w:lang w:val="en-GB"/>
        </w:rPr>
        <w:t xml:space="preserve"> the adoption of the Hampshire Minerals and Waste Plan in October 2013 the Authority continues to work with Hampshire County Council, Portsmouth and Southampton City Councils, and the South Downs National Park Authority to monitor and implement the Plan. The National Planning Policy Framework (NPPF) states that Local Plans should be assessed within five years of adoption to determine if a full or partial update is necessary. In 2018 the </w:t>
      </w:r>
      <w:r w:rsidR="0011489D">
        <w:rPr>
          <w:rFonts w:ascii="Arial" w:hAnsi="Arial" w:cs="Arial"/>
          <w:lang w:val="en-GB"/>
        </w:rPr>
        <w:t xml:space="preserve">review of the </w:t>
      </w:r>
      <w:r w:rsidRPr="00217CA0">
        <w:rPr>
          <w:rFonts w:ascii="Arial" w:hAnsi="Arial" w:cs="Arial"/>
          <w:lang w:val="en-GB"/>
        </w:rPr>
        <w:t xml:space="preserve">Minerals and Waste Plan by officers concluded that there was no immediate need to review the Plan. </w:t>
      </w:r>
    </w:p>
    <w:p w14:paraId="38EAD352" w14:textId="77777777" w:rsidR="00011D29" w:rsidRPr="00217CA0" w:rsidRDefault="00011D29" w:rsidP="00011D29">
      <w:pPr>
        <w:pStyle w:val="NormalWeb"/>
        <w:shd w:val="clear" w:color="auto" w:fill="FFFFFF"/>
        <w:spacing w:before="0" w:after="0"/>
        <w:ind w:left="709"/>
        <w:rPr>
          <w:rFonts w:ascii="Arial" w:hAnsi="Arial" w:cs="Arial"/>
          <w:lang w:val="en-GB"/>
        </w:rPr>
      </w:pPr>
    </w:p>
    <w:p w14:paraId="23B9C563" w14:textId="5207E4D1" w:rsidR="00011D29" w:rsidRPr="00217CA0" w:rsidRDefault="00182B82" w:rsidP="00011D29">
      <w:pPr>
        <w:pStyle w:val="NormalWeb"/>
        <w:numPr>
          <w:ilvl w:val="1"/>
          <w:numId w:val="3"/>
        </w:numPr>
        <w:shd w:val="clear" w:color="auto" w:fill="FFFFFF"/>
        <w:tabs>
          <w:tab w:val="clear" w:pos="360"/>
        </w:tabs>
        <w:spacing w:before="0" w:after="0"/>
        <w:ind w:left="567" w:hanging="567"/>
        <w:rPr>
          <w:lang w:val="en-GB"/>
        </w:rPr>
      </w:pPr>
      <w:r w:rsidRPr="003D7A96">
        <w:rPr>
          <w:rFonts w:ascii="Arial" w:hAnsi="Arial" w:cs="Arial"/>
          <w:lang w:val="en-GB"/>
        </w:rPr>
        <w:t>Following</w:t>
      </w:r>
      <w:r>
        <w:rPr>
          <w:rFonts w:ascii="Arial" w:hAnsi="Arial" w:cs="Arial"/>
          <w:lang w:val="en-GB"/>
        </w:rPr>
        <w:t xml:space="preserve"> a further </w:t>
      </w:r>
      <w:r w:rsidR="002D222F">
        <w:rPr>
          <w:rFonts w:ascii="Arial" w:hAnsi="Arial" w:cs="Arial"/>
          <w:lang w:val="en-GB"/>
        </w:rPr>
        <w:t>assessment</w:t>
      </w:r>
      <w:r w:rsidR="00011D29" w:rsidRPr="00217CA0">
        <w:rPr>
          <w:rFonts w:ascii="Arial" w:hAnsi="Arial" w:cs="Arial"/>
          <w:lang w:val="en-GB"/>
        </w:rPr>
        <w:t xml:space="preserve"> in 2020 it was concluded that, although the Plan ha</w:t>
      </w:r>
      <w:r w:rsidR="002D222F">
        <w:rPr>
          <w:rFonts w:ascii="Arial" w:hAnsi="Arial" w:cs="Arial"/>
          <w:lang w:val="en-GB"/>
        </w:rPr>
        <w:t>d</w:t>
      </w:r>
      <w:r w:rsidR="00011D29" w:rsidRPr="00217CA0">
        <w:rPr>
          <w:rFonts w:ascii="Arial" w:hAnsi="Arial" w:cs="Arial"/>
          <w:lang w:val="en-GB"/>
        </w:rPr>
        <w:t xml:space="preserve"> been performing </w:t>
      </w:r>
      <w:r w:rsidR="002D222F">
        <w:rPr>
          <w:rFonts w:ascii="Arial" w:hAnsi="Arial" w:cs="Arial"/>
          <w:lang w:val="en-GB"/>
        </w:rPr>
        <w:t xml:space="preserve">effectively </w:t>
      </w:r>
      <w:r w:rsidR="00011D29" w:rsidRPr="00217CA0">
        <w:rPr>
          <w:rFonts w:ascii="Arial" w:hAnsi="Arial" w:cs="Arial"/>
          <w:lang w:val="en-GB"/>
        </w:rPr>
        <w:t xml:space="preserve">and working to support minerals and waste planning, a partial update </w:t>
      </w:r>
      <w:r w:rsidR="002D222F">
        <w:rPr>
          <w:rFonts w:ascii="Arial" w:hAnsi="Arial" w:cs="Arial"/>
          <w:lang w:val="en-GB"/>
        </w:rPr>
        <w:t>would</w:t>
      </w:r>
      <w:r w:rsidR="00011D29" w:rsidRPr="00217CA0">
        <w:rPr>
          <w:rFonts w:ascii="Arial" w:hAnsi="Arial" w:cs="Arial"/>
          <w:lang w:val="en-GB"/>
        </w:rPr>
        <w:t xml:space="preserve"> </w:t>
      </w:r>
      <w:bookmarkStart w:id="3" w:name="_Hlk92353261"/>
      <w:r w:rsidR="00011D29" w:rsidRPr="00217CA0">
        <w:rPr>
          <w:rFonts w:ascii="Arial" w:hAnsi="Arial" w:cs="Arial"/>
          <w:lang w:val="en-GB"/>
        </w:rPr>
        <w:t>ensure full compliance with the NPPF and the </w:t>
      </w:r>
      <w:hyperlink r:id="rId13" w:history="1">
        <w:r w:rsidR="00011D29" w:rsidRPr="00217CA0">
          <w:rPr>
            <w:rFonts w:ascii="Arial" w:hAnsi="Arial" w:cs="Arial"/>
            <w:lang w:val="en-GB"/>
          </w:rPr>
          <w:t>National Planning Policy for Waste</w:t>
        </w:r>
      </w:hyperlink>
      <w:r w:rsidR="00011D29" w:rsidRPr="00217CA0">
        <w:rPr>
          <w:rFonts w:ascii="Arial" w:hAnsi="Arial" w:cs="Arial"/>
          <w:lang w:val="en-GB"/>
        </w:rPr>
        <w:t> (NPPW).</w:t>
      </w:r>
      <w:bookmarkEnd w:id="3"/>
    </w:p>
    <w:p w14:paraId="28D61D37" w14:textId="77777777" w:rsidR="00011D29" w:rsidRPr="00217CA0" w:rsidRDefault="00011D29" w:rsidP="00011D29">
      <w:pPr>
        <w:pStyle w:val="ListParagraph"/>
        <w:ind w:left="567" w:hanging="567"/>
      </w:pPr>
    </w:p>
    <w:p w14:paraId="392B8DF0" w14:textId="1C399AB4" w:rsidR="00011D29" w:rsidRDefault="00011D29" w:rsidP="00011D29">
      <w:pPr>
        <w:pStyle w:val="NormalWeb"/>
        <w:numPr>
          <w:ilvl w:val="1"/>
          <w:numId w:val="3"/>
        </w:numPr>
        <w:shd w:val="clear" w:color="auto" w:fill="FFFFFF"/>
        <w:tabs>
          <w:tab w:val="clear" w:pos="360"/>
        </w:tabs>
        <w:spacing w:before="0" w:after="0"/>
        <w:ind w:left="567" w:hanging="567"/>
        <w:rPr>
          <w:rFonts w:ascii="Arial" w:hAnsi="Arial" w:cs="Arial"/>
          <w:lang w:val="en-GB"/>
        </w:rPr>
      </w:pPr>
      <w:r w:rsidRPr="003D7A96">
        <w:rPr>
          <w:rFonts w:ascii="Arial" w:hAnsi="Arial" w:cs="Arial"/>
          <w:lang w:val="en-GB"/>
        </w:rPr>
        <w:t>Public</w:t>
      </w:r>
      <w:r w:rsidRPr="00217CA0">
        <w:rPr>
          <w:rFonts w:ascii="Arial" w:hAnsi="Arial" w:cs="Arial"/>
          <w:lang w:val="en-GB"/>
        </w:rPr>
        <w:t xml:space="preserve"> consultation on the Partial Update of the Hampshire Minerals and Waste Plan </w:t>
      </w:r>
      <w:r>
        <w:rPr>
          <w:rFonts w:ascii="Arial" w:hAnsi="Arial" w:cs="Arial"/>
          <w:lang w:val="en-GB"/>
        </w:rPr>
        <w:t xml:space="preserve">was undertaken in </w:t>
      </w:r>
      <w:r w:rsidRPr="00217CA0">
        <w:rPr>
          <w:rFonts w:ascii="Arial" w:hAnsi="Arial" w:cs="Arial"/>
          <w:lang w:val="en-GB"/>
        </w:rPr>
        <w:t xml:space="preserve">November 2022 and ran for 12 weeks, in line with the </w:t>
      </w:r>
      <w:r w:rsidR="00FC682B">
        <w:rPr>
          <w:rFonts w:ascii="Arial" w:hAnsi="Arial" w:cs="Arial"/>
          <w:lang w:val="en-GB"/>
        </w:rPr>
        <w:t>Minerals and Waste Local Development Scheme (</w:t>
      </w:r>
      <w:r w:rsidRPr="00217CA0">
        <w:rPr>
          <w:rFonts w:ascii="Arial" w:hAnsi="Arial" w:cs="Arial"/>
          <w:lang w:val="en-GB"/>
        </w:rPr>
        <w:t>LDS</w:t>
      </w:r>
      <w:r w:rsidR="00FC682B">
        <w:rPr>
          <w:rFonts w:ascii="Arial" w:hAnsi="Arial" w:cs="Arial"/>
          <w:lang w:val="en-GB"/>
        </w:rPr>
        <w:t>)</w:t>
      </w:r>
      <w:r w:rsidRPr="00217CA0">
        <w:rPr>
          <w:rFonts w:ascii="Arial" w:hAnsi="Arial" w:cs="Arial"/>
          <w:lang w:val="en-GB"/>
        </w:rPr>
        <w:t>.</w:t>
      </w:r>
      <w:r>
        <w:rPr>
          <w:rFonts w:ascii="Arial" w:hAnsi="Arial" w:cs="Arial"/>
          <w:lang w:val="en-GB"/>
        </w:rPr>
        <w:t xml:space="preserve"> A</w:t>
      </w:r>
      <w:r w:rsidRPr="0021383A">
        <w:rPr>
          <w:rFonts w:ascii="Arial" w:hAnsi="Arial" w:cs="Arial"/>
          <w:lang w:val="en-GB"/>
        </w:rPr>
        <w:t xml:space="preserve"> further period of public consultation </w:t>
      </w:r>
      <w:r>
        <w:rPr>
          <w:rFonts w:ascii="Arial" w:hAnsi="Arial" w:cs="Arial"/>
          <w:lang w:val="en-GB"/>
        </w:rPr>
        <w:t>on the Proposed Submission Plan was undertaken between</w:t>
      </w:r>
      <w:r w:rsidRPr="0021383A">
        <w:rPr>
          <w:rFonts w:ascii="Arial" w:hAnsi="Arial" w:cs="Arial"/>
          <w:lang w:val="en-GB"/>
        </w:rPr>
        <w:t xml:space="preserve"> January </w:t>
      </w:r>
      <w:r>
        <w:rPr>
          <w:rFonts w:ascii="Arial" w:hAnsi="Arial" w:cs="Arial"/>
          <w:lang w:val="en-GB"/>
        </w:rPr>
        <w:t xml:space="preserve">and March </w:t>
      </w:r>
      <w:r w:rsidRPr="0021383A">
        <w:rPr>
          <w:rFonts w:ascii="Arial" w:hAnsi="Arial" w:cs="Arial"/>
          <w:lang w:val="en-GB"/>
        </w:rPr>
        <w:t>2024, before being submitted to the Secretary of State</w:t>
      </w:r>
      <w:r>
        <w:rPr>
          <w:rFonts w:ascii="Arial" w:hAnsi="Arial" w:cs="Arial"/>
          <w:lang w:val="en-GB"/>
        </w:rPr>
        <w:t xml:space="preserve"> in July 2024 for independent examination. </w:t>
      </w:r>
      <w:r w:rsidRPr="0021383A">
        <w:rPr>
          <w:rFonts w:ascii="Arial" w:hAnsi="Arial" w:cs="Arial"/>
          <w:lang w:val="en-GB"/>
        </w:rPr>
        <w:t xml:space="preserve"> </w:t>
      </w:r>
      <w:proofErr w:type="gramStart"/>
      <w:r>
        <w:rPr>
          <w:rFonts w:ascii="Arial" w:hAnsi="Arial" w:cs="Arial"/>
          <w:lang w:val="en-GB"/>
        </w:rPr>
        <w:t>A number of</w:t>
      </w:r>
      <w:proofErr w:type="gramEnd"/>
      <w:r>
        <w:rPr>
          <w:rFonts w:ascii="Arial" w:hAnsi="Arial" w:cs="Arial"/>
          <w:lang w:val="en-GB"/>
        </w:rPr>
        <w:t xml:space="preserve"> Hearing sessions </w:t>
      </w:r>
      <w:r w:rsidR="0041078C">
        <w:rPr>
          <w:rFonts w:ascii="Arial" w:hAnsi="Arial" w:cs="Arial"/>
          <w:lang w:val="en-GB"/>
        </w:rPr>
        <w:t>were undertaken in</w:t>
      </w:r>
      <w:r>
        <w:rPr>
          <w:rFonts w:ascii="Arial" w:hAnsi="Arial" w:cs="Arial"/>
          <w:lang w:val="en-GB"/>
        </w:rPr>
        <w:t xml:space="preserve"> February 2025</w:t>
      </w:r>
      <w:r w:rsidR="0041078C">
        <w:rPr>
          <w:rFonts w:ascii="Arial" w:hAnsi="Arial" w:cs="Arial"/>
          <w:lang w:val="en-GB"/>
        </w:rPr>
        <w:t>, with and additiona</w:t>
      </w:r>
      <w:r w:rsidR="0044142D">
        <w:rPr>
          <w:rFonts w:ascii="Arial" w:hAnsi="Arial" w:cs="Arial"/>
          <w:lang w:val="en-GB"/>
        </w:rPr>
        <w:t>l session in September focussed on the proposed sand and gravel mineral site in Ringwood</w:t>
      </w:r>
      <w:r w:rsidRPr="0021383A">
        <w:rPr>
          <w:rFonts w:ascii="Arial" w:hAnsi="Arial" w:cs="Arial"/>
          <w:lang w:val="en-GB"/>
        </w:rPr>
        <w:t>.</w:t>
      </w:r>
    </w:p>
    <w:p w14:paraId="2D149C61" w14:textId="77777777" w:rsidR="00E66476" w:rsidRDefault="00E66476" w:rsidP="00E66476">
      <w:pPr>
        <w:pStyle w:val="ListParagraph"/>
      </w:pPr>
    </w:p>
    <w:p w14:paraId="3A676EDB" w14:textId="641D7A18" w:rsidR="00E66476" w:rsidRPr="0021383A" w:rsidRDefault="00E66476" w:rsidP="00011D29">
      <w:pPr>
        <w:pStyle w:val="NormalWeb"/>
        <w:numPr>
          <w:ilvl w:val="1"/>
          <w:numId w:val="3"/>
        </w:numPr>
        <w:shd w:val="clear" w:color="auto" w:fill="FFFFFF"/>
        <w:tabs>
          <w:tab w:val="clear" w:pos="360"/>
        </w:tabs>
        <w:spacing w:before="0" w:after="0"/>
        <w:ind w:left="567" w:hanging="567"/>
        <w:rPr>
          <w:rFonts w:ascii="Arial" w:hAnsi="Arial" w:cs="Arial"/>
          <w:lang w:val="en-GB"/>
        </w:rPr>
      </w:pPr>
      <w:r w:rsidRPr="00E66476">
        <w:rPr>
          <w:rFonts w:ascii="Arial" w:hAnsi="Arial" w:cs="Arial"/>
          <w:lang w:val="en-GB"/>
        </w:rPr>
        <w:t xml:space="preserve">The </w:t>
      </w:r>
      <w:r w:rsidRPr="00765C93">
        <w:rPr>
          <w:rFonts w:ascii="Arial" w:hAnsi="Arial" w:cs="Arial"/>
          <w:lang w:val="en-GB"/>
        </w:rPr>
        <w:t>Hampshire</w:t>
      </w:r>
      <w:r w:rsidRPr="00E66476">
        <w:rPr>
          <w:rFonts w:ascii="Arial" w:hAnsi="Arial" w:cs="Arial"/>
          <w:lang w:val="en-GB"/>
        </w:rPr>
        <w:t xml:space="preserve"> Authorities published proposed modifications to the Submission Plan, which are considered necessary to make the Plan legally compliant and/or sound. The Proposed Main Modifications and Policies Map Changes were subject to consultation, between 4 December 2025 and 12 February 2026</w:t>
      </w:r>
      <w:r w:rsidR="00A54B25">
        <w:rPr>
          <w:rFonts w:ascii="Arial" w:hAnsi="Arial" w:cs="Arial"/>
          <w:lang w:val="en-GB"/>
        </w:rPr>
        <w:t xml:space="preserve">. </w:t>
      </w:r>
      <w:r w:rsidR="00753693">
        <w:rPr>
          <w:rFonts w:ascii="Arial" w:hAnsi="Arial" w:cs="Arial"/>
          <w:lang w:val="en-GB"/>
        </w:rPr>
        <w:t>All representations received w</w:t>
      </w:r>
      <w:r w:rsidR="00C70518">
        <w:rPr>
          <w:rFonts w:ascii="Arial" w:hAnsi="Arial" w:cs="Arial"/>
          <w:lang w:val="en-GB"/>
        </w:rPr>
        <w:t>e</w:t>
      </w:r>
      <w:r w:rsidR="00753693">
        <w:rPr>
          <w:rFonts w:ascii="Arial" w:hAnsi="Arial" w:cs="Arial"/>
          <w:lang w:val="en-GB"/>
        </w:rPr>
        <w:t>re passed onto the</w:t>
      </w:r>
      <w:r w:rsidR="00C70518">
        <w:rPr>
          <w:rFonts w:ascii="Arial" w:hAnsi="Arial" w:cs="Arial"/>
          <w:lang w:val="en-GB"/>
        </w:rPr>
        <w:t xml:space="preserve"> </w:t>
      </w:r>
      <w:r w:rsidR="00184995">
        <w:rPr>
          <w:rFonts w:ascii="Arial" w:hAnsi="Arial" w:cs="Arial"/>
          <w:lang w:val="en-GB"/>
        </w:rPr>
        <w:t>Planning Inspector</w:t>
      </w:r>
      <w:r w:rsidR="00C70518">
        <w:rPr>
          <w:rFonts w:ascii="Arial" w:hAnsi="Arial" w:cs="Arial"/>
          <w:lang w:val="en-GB"/>
        </w:rPr>
        <w:t xml:space="preserve"> </w:t>
      </w:r>
      <w:r w:rsidR="00D022A2">
        <w:rPr>
          <w:rFonts w:ascii="Arial" w:hAnsi="Arial" w:cs="Arial"/>
          <w:lang w:val="en-GB"/>
        </w:rPr>
        <w:t>for consideration and in April 2026</w:t>
      </w:r>
      <w:r w:rsidR="00913557">
        <w:rPr>
          <w:rFonts w:ascii="Arial" w:hAnsi="Arial" w:cs="Arial"/>
          <w:lang w:val="en-GB"/>
        </w:rPr>
        <w:t xml:space="preserve"> the Inspector’s Report was received confirming that</w:t>
      </w:r>
      <w:r w:rsidR="00C70518">
        <w:rPr>
          <w:rFonts w:ascii="Arial" w:hAnsi="Arial" w:cs="Arial"/>
          <w:lang w:val="en-GB"/>
        </w:rPr>
        <w:t xml:space="preserve"> the</w:t>
      </w:r>
      <w:r w:rsidR="00913557">
        <w:rPr>
          <w:rFonts w:ascii="Arial" w:hAnsi="Arial" w:cs="Arial"/>
          <w:lang w:val="en-GB"/>
        </w:rPr>
        <w:t xml:space="preserve"> Hampshire Minerals and Waste</w:t>
      </w:r>
      <w:r w:rsidR="00C70518">
        <w:rPr>
          <w:rFonts w:ascii="Arial" w:hAnsi="Arial" w:cs="Arial"/>
          <w:lang w:val="en-GB"/>
        </w:rPr>
        <w:t xml:space="preserve"> Plan</w:t>
      </w:r>
      <w:r w:rsidR="00184995">
        <w:rPr>
          <w:rFonts w:ascii="Arial" w:hAnsi="Arial" w:cs="Arial"/>
          <w:lang w:val="en-GB"/>
        </w:rPr>
        <w:t xml:space="preserve"> is sound and can be adopted</w:t>
      </w:r>
      <w:r w:rsidR="00913557">
        <w:rPr>
          <w:rFonts w:ascii="Arial" w:hAnsi="Arial" w:cs="Arial"/>
          <w:lang w:val="en-GB"/>
        </w:rPr>
        <w:t xml:space="preserve"> by the partner authorities</w:t>
      </w:r>
      <w:r w:rsidR="00184995">
        <w:rPr>
          <w:rFonts w:ascii="Arial" w:hAnsi="Arial" w:cs="Arial"/>
          <w:lang w:val="en-GB"/>
        </w:rPr>
        <w:t>.</w:t>
      </w:r>
    </w:p>
    <w:p w14:paraId="56F10A8D" w14:textId="77777777" w:rsidR="00011D29" w:rsidRPr="00217CA0" w:rsidRDefault="00011D29" w:rsidP="00011D29">
      <w:pPr>
        <w:rPr>
          <w:rFonts w:eastAsia="Times New Roman"/>
          <w:szCs w:val="24"/>
          <w:lang w:eastAsia="ar-SA"/>
        </w:rPr>
      </w:pPr>
    </w:p>
    <w:p w14:paraId="782E9F4E" w14:textId="77777777" w:rsidR="00011D29" w:rsidRPr="00217CA0" w:rsidRDefault="00011D29" w:rsidP="00164FD3">
      <w:pPr>
        <w:pStyle w:val="Heading3"/>
        <w:spacing w:before="0" w:after="0"/>
      </w:pPr>
      <w:r w:rsidRPr="008E2286">
        <w:t>Neighbourhood</w:t>
      </w:r>
      <w:r w:rsidRPr="00217CA0">
        <w:t xml:space="preserve"> Plan production</w:t>
      </w:r>
    </w:p>
    <w:p w14:paraId="2FA27C9B" w14:textId="77777777" w:rsidR="00011D29" w:rsidRPr="00217CA0" w:rsidRDefault="00011D29" w:rsidP="00011D29"/>
    <w:p w14:paraId="07931729" w14:textId="14B447DD" w:rsidR="00011D29" w:rsidRPr="00217CA0" w:rsidRDefault="00011D29" w:rsidP="00011D29">
      <w:pPr>
        <w:pStyle w:val="NormalWeb"/>
        <w:numPr>
          <w:ilvl w:val="1"/>
          <w:numId w:val="3"/>
        </w:numPr>
        <w:shd w:val="clear" w:color="auto" w:fill="FFFFFF"/>
        <w:tabs>
          <w:tab w:val="clear" w:pos="360"/>
        </w:tabs>
        <w:spacing w:before="0" w:after="0"/>
        <w:ind w:left="567" w:hanging="567"/>
        <w:rPr>
          <w:rFonts w:ascii="Arial" w:hAnsi="Arial" w:cs="Arial"/>
          <w:lang w:val="en-GB"/>
        </w:rPr>
      </w:pPr>
      <w:r w:rsidRPr="00765C93">
        <w:rPr>
          <w:rFonts w:ascii="Arial" w:hAnsi="Arial" w:cs="Arial"/>
          <w:lang w:val="en-GB"/>
        </w:rPr>
        <w:t>The</w:t>
      </w:r>
      <w:r w:rsidRPr="00217CA0">
        <w:rPr>
          <w:rFonts w:ascii="Arial" w:hAnsi="Arial" w:cs="Arial"/>
          <w:lang w:val="en-GB"/>
        </w:rPr>
        <w:t xml:space="preserve"> Authority has continued to work with </w:t>
      </w:r>
      <w:proofErr w:type="gramStart"/>
      <w:r w:rsidRPr="00217CA0">
        <w:rPr>
          <w:rFonts w:ascii="Arial" w:hAnsi="Arial" w:cs="Arial"/>
          <w:lang w:val="en-GB"/>
        </w:rPr>
        <w:t>a number of</w:t>
      </w:r>
      <w:proofErr w:type="gramEnd"/>
      <w:r w:rsidRPr="00217CA0">
        <w:rPr>
          <w:rFonts w:ascii="Arial" w:hAnsi="Arial" w:cs="Arial"/>
          <w:lang w:val="en-GB"/>
        </w:rPr>
        <w:t xml:space="preserve"> Town and Parish Councils to assist in the production of Neighbourhood Plans, all of which straddle the boundary of the National Park and adjacent authorities. There are now </w:t>
      </w:r>
      <w:r w:rsidR="00385199">
        <w:rPr>
          <w:rFonts w:ascii="Arial" w:hAnsi="Arial" w:cs="Arial"/>
          <w:lang w:val="en-GB"/>
        </w:rPr>
        <w:t>nine</w:t>
      </w:r>
      <w:r w:rsidRPr="00217CA0">
        <w:rPr>
          <w:rFonts w:ascii="Arial" w:hAnsi="Arial" w:cs="Arial"/>
          <w:lang w:val="en-GB"/>
        </w:rPr>
        <w:t xml:space="preserve"> Neighbourhood Areas formally designated for areas covering parts of the National Park. </w:t>
      </w:r>
      <w:r w:rsidR="00857370">
        <w:rPr>
          <w:rFonts w:ascii="Arial" w:hAnsi="Arial" w:cs="Arial"/>
          <w:lang w:val="en-GB"/>
        </w:rPr>
        <w:t>F</w:t>
      </w:r>
      <w:r>
        <w:rPr>
          <w:rFonts w:ascii="Arial" w:hAnsi="Arial" w:cs="Arial"/>
          <w:lang w:val="en-GB"/>
        </w:rPr>
        <w:t xml:space="preserve">ollowing a successful referendum, </w:t>
      </w:r>
      <w:r w:rsidR="00857370">
        <w:rPr>
          <w:rFonts w:ascii="Arial" w:hAnsi="Arial" w:cs="Arial"/>
          <w:lang w:val="en-GB"/>
        </w:rPr>
        <w:t>the Lymington and Pennington</w:t>
      </w:r>
      <w:r w:rsidR="005A4149">
        <w:rPr>
          <w:rFonts w:ascii="Arial" w:hAnsi="Arial" w:cs="Arial"/>
          <w:lang w:val="en-GB"/>
        </w:rPr>
        <w:t xml:space="preserve"> Neighbourhood Plan was</w:t>
      </w:r>
      <w:r w:rsidRPr="00217CA0">
        <w:rPr>
          <w:rFonts w:ascii="Arial" w:hAnsi="Arial" w:cs="Arial"/>
          <w:lang w:val="en-GB"/>
        </w:rPr>
        <w:t xml:space="preserve"> </w:t>
      </w:r>
      <w:r>
        <w:rPr>
          <w:rFonts w:ascii="Arial" w:hAnsi="Arial" w:cs="Arial"/>
          <w:lang w:val="en-GB"/>
        </w:rPr>
        <w:t xml:space="preserve">‘made’ in </w:t>
      </w:r>
      <w:r w:rsidR="005A4149">
        <w:rPr>
          <w:rFonts w:ascii="Arial" w:hAnsi="Arial" w:cs="Arial"/>
          <w:lang w:val="en-GB"/>
        </w:rPr>
        <w:t>March</w:t>
      </w:r>
      <w:r>
        <w:rPr>
          <w:rFonts w:ascii="Arial" w:hAnsi="Arial" w:cs="Arial"/>
          <w:lang w:val="en-GB"/>
        </w:rPr>
        <w:t xml:space="preserve"> 202</w:t>
      </w:r>
      <w:r w:rsidR="005A4149">
        <w:rPr>
          <w:rFonts w:ascii="Arial" w:hAnsi="Arial" w:cs="Arial"/>
          <w:lang w:val="en-GB"/>
        </w:rPr>
        <w:t>6</w:t>
      </w:r>
      <w:r>
        <w:rPr>
          <w:rFonts w:ascii="Arial" w:hAnsi="Arial" w:cs="Arial"/>
          <w:lang w:val="en-GB"/>
        </w:rPr>
        <w:t>.</w:t>
      </w:r>
      <w:r w:rsidR="008C2E56">
        <w:rPr>
          <w:rFonts w:ascii="Arial" w:hAnsi="Arial" w:cs="Arial"/>
          <w:lang w:val="en-GB"/>
        </w:rPr>
        <w:t xml:space="preserve"> </w:t>
      </w:r>
      <w:r w:rsidRPr="00217CA0">
        <w:rPr>
          <w:rFonts w:ascii="Arial" w:hAnsi="Arial" w:cs="Arial"/>
          <w:lang w:val="en-GB"/>
        </w:rPr>
        <w:t xml:space="preserve"> Paragraphs </w:t>
      </w:r>
      <w:r w:rsidRPr="00DD6183">
        <w:rPr>
          <w:rFonts w:ascii="Arial" w:hAnsi="Arial" w:cs="Arial"/>
          <w:lang w:val="en-GB"/>
        </w:rPr>
        <w:t>6.3</w:t>
      </w:r>
      <w:r w:rsidR="008B7667">
        <w:rPr>
          <w:rFonts w:ascii="Arial" w:hAnsi="Arial" w:cs="Arial"/>
          <w:lang w:val="en-GB"/>
        </w:rPr>
        <w:t>6</w:t>
      </w:r>
      <w:r w:rsidRPr="00DD6183">
        <w:rPr>
          <w:rFonts w:ascii="Arial" w:hAnsi="Arial" w:cs="Arial"/>
          <w:lang w:val="en-GB"/>
        </w:rPr>
        <w:t xml:space="preserve"> to 6.3</w:t>
      </w:r>
      <w:r w:rsidR="008B7667">
        <w:rPr>
          <w:rFonts w:ascii="Arial" w:hAnsi="Arial" w:cs="Arial"/>
          <w:lang w:val="en-GB"/>
        </w:rPr>
        <w:t>8</w:t>
      </w:r>
      <w:r w:rsidRPr="00217CA0">
        <w:rPr>
          <w:rFonts w:ascii="Arial" w:hAnsi="Arial" w:cs="Arial"/>
          <w:lang w:val="en-GB"/>
        </w:rPr>
        <w:t xml:space="preserve"> of this report set out more detail on the progress of these plans.</w:t>
      </w:r>
    </w:p>
    <w:p w14:paraId="706D35D4" w14:textId="77777777" w:rsidR="00011D29" w:rsidRPr="00217CA0" w:rsidRDefault="00011D29" w:rsidP="00011D29">
      <w:pPr>
        <w:pStyle w:val="Heading3"/>
      </w:pPr>
      <w:r w:rsidRPr="00217CA0">
        <w:lastRenderedPageBreak/>
        <w:t>Commenting on and contributing towards the preparation of other authorities’ plans and development proposals</w:t>
      </w:r>
    </w:p>
    <w:p w14:paraId="28B6F403" w14:textId="77777777" w:rsidR="00011D29" w:rsidRPr="00217CA0" w:rsidRDefault="00011D29" w:rsidP="00011D29"/>
    <w:p w14:paraId="0DBBE372" w14:textId="3D9AE555" w:rsidR="00011D29" w:rsidRPr="00217CA0" w:rsidRDefault="00011D29" w:rsidP="00011D29">
      <w:pPr>
        <w:pStyle w:val="NormalWeb"/>
        <w:numPr>
          <w:ilvl w:val="1"/>
          <w:numId w:val="3"/>
        </w:numPr>
        <w:shd w:val="clear" w:color="auto" w:fill="FFFFFF"/>
        <w:tabs>
          <w:tab w:val="clear" w:pos="360"/>
        </w:tabs>
        <w:spacing w:before="0" w:after="0"/>
        <w:ind w:left="567" w:hanging="567"/>
        <w:rPr>
          <w:lang w:val="en-GB"/>
        </w:rPr>
      </w:pPr>
      <w:r w:rsidRPr="008B5A5D">
        <w:rPr>
          <w:rFonts w:ascii="Arial" w:hAnsi="Arial" w:cs="Arial"/>
          <w:lang w:val="en-GB"/>
        </w:rPr>
        <w:t>Officers</w:t>
      </w:r>
      <w:r w:rsidRPr="00217CA0">
        <w:rPr>
          <w:rFonts w:ascii="Arial" w:hAnsi="Arial" w:cs="Arial"/>
          <w:lang w:val="en-GB"/>
        </w:rPr>
        <w:t xml:space="preserve"> have</w:t>
      </w:r>
      <w:r>
        <w:rPr>
          <w:rFonts w:ascii="Arial" w:hAnsi="Arial" w:cs="Arial"/>
          <w:lang w:val="en-GB"/>
        </w:rPr>
        <w:t xml:space="preserve"> continued to </w:t>
      </w:r>
      <w:r w:rsidRPr="00217CA0">
        <w:rPr>
          <w:rFonts w:ascii="Arial" w:hAnsi="Arial" w:cs="Arial"/>
          <w:lang w:val="en-GB"/>
        </w:rPr>
        <w:t xml:space="preserve">liaise with adjacent authorities in both a formal and informal capacity, on a regular basis. Formal responses have also been made during consultation on the draft plans, strategies and relevant planning applications of other authorities, including </w:t>
      </w:r>
      <w:r>
        <w:rPr>
          <w:rFonts w:ascii="Arial" w:hAnsi="Arial" w:cs="Arial"/>
          <w:lang w:val="en-GB"/>
        </w:rPr>
        <w:t xml:space="preserve">consultation on the draft </w:t>
      </w:r>
      <w:r w:rsidR="00737964">
        <w:rPr>
          <w:rFonts w:ascii="Arial" w:hAnsi="Arial" w:cs="Arial"/>
          <w:lang w:val="en-GB"/>
        </w:rPr>
        <w:t xml:space="preserve">Wiltshire Council </w:t>
      </w:r>
      <w:r w:rsidR="00DA05D8">
        <w:rPr>
          <w:rFonts w:ascii="Arial" w:hAnsi="Arial" w:cs="Arial"/>
          <w:lang w:val="en-GB"/>
        </w:rPr>
        <w:t>Gypsy and Traveller Development Plan Document, the Wiltshire Local Transport</w:t>
      </w:r>
      <w:r w:rsidR="00AF6AEE">
        <w:rPr>
          <w:rFonts w:ascii="Arial" w:hAnsi="Arial" w:cs="Arial"/>
          <w:lang w:val="en-GB"/>
        </w:rPr>
        <w:t xml:space="preserve"> Plan 4 </w:t>
      </w:r>
      <w:r w:rsidR="007F41A8">
        <w:rPr>
          <w:rFonts w:ascii="Arial" w:hAnsi="Arial" w:cs="Arial"/>
          <w:lang w:val="en-GB"/>
        </w:rPr>
        <w:t xml:space="preserve">(LTP4) </w:t>
      </w:r>
      <w:r w:rsidR="00AF6AEE">
        <w:rPr>
          <w:rFonts w:ascii="Arial" w:hAnsi="Arial" w:cs="Arial"/>
          <w:lang w:val="en-GB"/>
        </w:rPr>
        <w:t xml:space="preserve">and Hampshire </w:t>
      </w:r>
      <w:r w:rsidR="007F41A8">
        <w:rPr>
          <w:rFonts w:ascii="Arial" w:hAnsi="Arial" w:cs="Arial"/>
          <w:lang w:val="en-GB"/>
        </w:rPr>
        <w:t xml:space="preserve">County Council LTP4 Movement and Place </w:t>
      </w:r>
      <w:r w:rsidR="004766DC">
        <w:rPr>
          <w:rFonts w:ascii="Arial" w:hAnsi="Arial" w:cs="Arial"/>
          <w:lang w:val="en-GB"/>
        </w:rPr>
        <w:t>framework.</w:t>
      </w:r>
      <w:r w:rsidRPr="00217CA0">
        <w:rPr>
          <w:rFonts w:ascii="Arial" w:hAnsi="Arial" w:cs="Arial"/>
          <w:lang w:val="en-GB"/>
        </w:rPr>
        <w:t xml:space="preserve"> The Authority has also liaised with Hampshire County Council over the </w:t>
      </w:r>
      <w:r>
        <w:rPr>
          <w:rFonts w:ascii="Arial" w:hAnsi="Arial" w:cs="Arial"/>
          <w:lang w:val="en-GB"/>
        </w:rPr>
        <w:t>New Forest</w:t>
      </w:r>
      <w:r w:rsidRPr="00217CA0">
        <w:rPr>
          <w:rFonts w:ascii="Arial" w:hAnsi="Arial" w:cs="Arial"/>
          <w:lang w:val="en-GB"/>
        </w:rPr>
        <w:t xml:space="preserve"> Local Cycling and Walking Infrastructure Plan.</w:t>
      </w:r>
      <w:r>
        <w:rPr>
          <w:rFonts w:ascii="Arial" w:hAnsi="Arial" w:cs="Arial"/>
          <w:lang w:val="en-GB"/>
        </w:rPr>
        <w:t xml:space="preserve"> </w:t>
      </w:r>
    </w:p>
    <w:p w14:paraId="7C114368" w14:textId="77777777" w:rsidR="00011D29" w:rsidRPr="00217CA0" w:rsidRDefault="00011D29" w:rsidP="00011D29">
      <w:pPr>
        <w:pStyle w:val="NormalWeb"/>
        <w:shd w:val="clear" w:color="auto" w:fill="FFFFFF"/>
        <w:spacing w:before="0" w:after="0"/>
        <w:ind w:left="709"/>
        <w:rPr>
          <w:rFonts w:ascii="Arial" w:hAnsi="Arial" w:cs="Arial"/>
          <w:lang w:val="en-GB"/>
        </w:rPr>
      </w:pPr>
    </w:p>
    <w:p w14:paraId="59947BD3" w14:textId="77777777" w:rsidR="00011D29" w:rsidRPr="00217CA0" w:rsidRDefault="00011D29" w:rsidP="00011D29">
      <w:pPr>
        <w:pStyle w:val="Heading3"/>
      </w:pPr>
      <w:r w:rsidRPr="00217CA0">
        <w:t xml:space="preserve">Participating in sub and regional groups </w:t>
      </w:r>
    </w:p>
    <w:p w14:paraId="305F3475" w14:textId="77777777" w:rsidR="00011D29" w:rsidRPr="00217CA0" w:rsidRDefault="00011D29" w:rsidP="00011D29"/>
    <w:p w14:paraId="4F6C2812" w14:textId="271E828D" w:rsidR="00011D29" w:rsidRPr="00217CA0" w:rsidRDefault="00011D29" w:rsidP="00011D29">
      <w:pPr>
        <w:pStyle w:val="NormalWeb"/>
        <w:numPr>
          <w:ilvl w:val="1"/>
          <w:numId w:val="3"/>
        </w:numPr>
        <w:shd w:val="clear" w:color="auto" w:fill="FFFFFF"/>
        <w:tabs>
          <w:tab w:val="clear" w:pos="360"/>
        </w:tabs>
        <w:spacing w:before="0" w:after="0"/>
        <w:ind w:left="567" w:hanging="567"/>
        <w:rPr>
          <w:rFonts w:ascii="Arial" w:hAnsi="Arial" w:cs="Arial"/>
          <w:lang w:val="en-GB"/>
        </w:rPr>
      </w:pPr>
      <w:r w:rsidRPr="008B5A5D">
        <w:rPr>
          <w:rFonts w:ascii="Arial" w:hAnsi="Arial" w:cs="Arial"/>
          <w:lang w:val="en-GB"/>
        </w:rPr>
        <w:t>The</w:t>
      </w:r>
      <w:r w:rsidRPr="00217CA0">
        <w:rPr>
          <w:rFonts w:ascii="Arial" w:hAnsi="Arial" w:cs="Arial"/>
          <w:lang w:val="en-GB"/>
        </w:rPr>
        <w:t xml:space="preserve"> </w:t>
      </w:r>
      <w:r w:rsidRPr="008E2286">
        <w:rPr>
          <w:rFonts w:ascii="Arial" w:hAnsi="Arial" w:cs="Arial"/>
          <w:lang w:val="en-GB"/>
        </w:rPr>
        <w:t>Authority</w:t>
      </w:r>
      <w:r w:rsidRPr="00217CA0">
        <w:rPr>
          <w:rFonts w:ascii="Arial" w:hAnsi="Arial" w:cs="Arial"/>
          <w:lang w:val="en-GB"/>
        </w:rPr>
        <w:t xml:space="preserve"> is an active member of the Partnership for South Hampshire (</w:t>
      </w:r>
      <w:proofErr w:type="spellStart"/>
      <w:r w:rsidRPr="00217CA0">
        <w:rPr>
          <w:rFonts w:ascii="Arial" w:hAnsi="Arial" w:cs="Arial"/>
          <w:lang w:val="en-GB"/>
        </w:rPr>
        <w:t>PfSH</w:t>
      </w:r>
      <w:proofErr w:type="spellEnd"/>
      <w:proofErr w:type="gramStart"/>
      <w:r w:rsidRPr="00217CA0">
        <w:rPr>
          <w:rFonts w:ascii="Arial" w:hAnsi="Arial" w:cs="Arial"/>
          <w:lang w:val="en-GB"/>
        </w:rPr>
        <w:t>)</w:t>
      </w:r>
      <w:proofErr w:type="gramEnd"/>
      <w:r w:rsidRPr="00217CA0">
        <w:rPr>
          <w:rFonts w:ascii="Arial" w:hAnsi="Arial" w:cs="Arial"/>
          <w:lang w:val="en-GB"/>
        </w:rPr>
        <w:t xml:space="preserve"> and the partnership is working on an updated spatial strategy setting out how identified development needs will be met across the sub-region. Additionally, joint work is being undertaken on water quality issues</w:t>
      </w:r>
      <w:r w:rsidR="00C7638E">
        <w:rPr>
          <w:rFonts w:ascii="Arial" w:hAnsi="Arial" w:cs="Arial"/>
          <w:lang w:val="en-GB"/>
        </w:rPr>
        <w:t xml:space="preserve"> and nutrient mitigation projects.</w:t>
      </w:r>
      <w:r w:rsidRPr="00217CA0">
        <w:rPr>
          <w:rFonts w:ascii="Arial" w:hAnsi="Arial" w:cs="Arial"/>
          <w:lang w:val="en-GB"/>
        </w:rPr>
        <w:t xml:space="preserve">  </w:t>
      </w:r>
    </w:p>
    <w:p w14:paraId="034A23E4" w14:textId="77777777" w:rsidR="00011D29" w:rsidRPr="00217CA0" w:rsidRDefault="00011D29" w:rsidP="00011D29">
      <w:pPr>
        <w:pStyle w:val="NormalWeb"/>
        <w:shd w:val="clear" w:color="auto" w:fill="FFFFFF"/>
        <w:spacing w:before="0" w:after="0"/>
        <w:rPr>
          <w:rFonts w:ascii="Arial" w:hAnsi="Arial" w:cs="Arial"/>
          <w:lang w:val="en-GB"/>
        </w:rPr>
      </w:pPr>
    </w:p>
    <w:p w14:paraId="4E4FA424" w14:textId="77777777" w:rsidR="00011D29" w:rsidRPr="00217CA0" w:rsidRDefault="00011D29" w:rsidP="00011D29">
      <w:pPr>
        <w:pStyle w:val="Heading3"/>
      </w:pPr>
      <w:r w:rsidRPr="00217CA0">
        <w:t xml:space="preserve">Joint Working with Neighbouring </w:t>
      </w:r>
      <w:r>
        <w:t xml:space="preserve">Planning </w:t>
      </w:r>
      <w:r w:rsidRPr="00217CA0">
        <w:t>Authorities and other bodies</w:t>
      </w:r>
    </w:p>
    <w:p w14:paraId="6058C967" w14:textId="77777777" w:rsidR="00011D29" w:rsidRPr="00217CA0" w:rsidRDefault="00011D29" w:rsidP="00011D29"/>
    <w:p w14:paraId="49335A78" w14:textId="77777777" w:rsidR="00011D29" w:rsidRPr="00217CA0" w:rsidRDefault="00011D29" w:rsidP="00011D29">
      <w:pPr>
        <w:pStyle w:val="NormalWeb"/>
        <w:numPr>
          <w:ilvl w:val="1"/>
          <w:numId w:val="3"/>
        </w:numPr>
        <w:shd w:val="clear" w:color="auto" w:fill="FFFFFF"/>
        <w:tabs>
          <w:tab w:val="clear" w:pos="360"/>
        </w:tabs>
        <w:spacing w:before="0" w:after="0"/>
        <w:ind w:left="567" w:hanging="567"/>
        <w:rPr>
          <w:rFonts w:ascii="Arial" w:hAnsi="Arial" w:cs="Arial"/>
          <w:lang w:val="en-GB"/>
        </w:rPr>
      </w:pPr>
      <w:r w:rsidRPr="008B5A5D">
        <w:rPr>
          <w:rFonts w:ascii="Arial" w:hAnsi="Arial" w:cs="Arial"/>
          <w:lang w:val="en-GB"/>
        </w:rPr>
        <w:t>There</w:t>
      </w:r>
      <w:r w:rsidRPr="00217CA0">
        <w:rPr>
          <w:rFonts w:ascii="Arial" w:hAnsi="Arial" w:cs="Arial"/>
          <w:lang w:val="en-GB"/>
        </w:rPr>
        <w:t xml:space="preserve"> are </w:t>
      </w:r>
      <w:proofErr w:type="gramStart"/>
      <w:r w:rsidRPr="00217CA0">
        <w:rPr>
          <w:rFonts w:ascii="Arial" w:hAnsi="Arial" w:cs="Arial"/>
          <w:lang w:val="en-GB"/>
        </w:rPr>
        <w:t>a number of</w:t>
      </w:r>
      <w:proofErr w:type="gramEnd"/>
      <w:r w:rsidRPr="00217CA0">
        <w:rPr>
          <w:rFonts w:ascii="Arial" w:hAnsi="Arial" w:cs="Arial"/>
          <w:lang w:val="en-GB"/>
        </w:rPr>
        <w:t xml:space="preserve"> Hampshire-wide professional officer groups which officers regularly attend, including the Hampshire Development Plans Group, the Planning Research Liaison Group, Hampshire Conservation Officers Group, and Development Control Officers Group. These are typically attended by representatives of all local planning authorities in Hampshire to discuss relevant current issues, many being cross-boundary issues, to share good practice and jointly commission new evidence base studies. </w:t>
      </w:r>
    </w:p>
    <w:p w14:paraId="52229691" w14:textId="77777777" w:rsidR="00011D29" w:rsidRPr="00217CA0" w:rsidRDefault="00011D29" w:rsidP="00011D29">
      <w:pPr>
        <w:pStyle w:val="NormalWeb"/>
        <w:shd w:val="clear" w:color="auto" w:fill="FFFFFF"/>
        <w:spacing w:before="0" w:after="0"/>
        <w:ind w:left="567" w:hanging="567"/>
        <w:rPr>
          <w:rFonts w:ascii="Arial" w:hAnsi="Arial" w:cs="Arial"/>
          <w:lang w:val="en-GB"/>
        </w:rPr>
      </w:pPr>
    </w:p>
    <w:p w14:paraId="13F724E0" w14:textId="29D30B20" w:rsidR="00011D29" w:rsidRPr="00217CA0" w:rsidRDefault="00011D29" w:rsidP="00011D29">
      <w:pPr>
        <w:pStyle w:val="NormalWeb"/>
        <w:numPr>
          <w:ilvl w:val="1"/>
          <w:numId w:val="3"/>
        </w:numPr>
        <w:shd w:val="clear" w:color="auto" w:fill="FFFFFF"/>
        <w:tabs>
          <w:tab w:val="clear" w:pos="360"/>
        </w:tabs>
        <w:spacing w:before="0" w:after="0"/>
        <w:ind w:left="567" w:hanging="567"/>
        <w:rPr>
          <w:rFonts w:ascii="Arial" w:hAnsi="Arial" w:cs="Arial"/>
          <w:lang w:val="en-GB"/>
        </w:rPr>
      </w:pPr>
      <w:r w:rsidRPr="008B5A5D">
        <w:rPr>
          <w:rFonts w:ascii="Arial" w:hAnsi="Arial" w:cs="Arial"/>
          <w:lang w:val="en-GB"/>
        </w:rPr>
        <w:t>The</w:t>
      </w:r>
      <w:r w:rsidRPr="00217CA0">
        <w:rPr>
          <w:rFonts w:ascii="Arial" w:hAnsi="Arial" w:cs="Arial"/>
          <w:lang w:val="en-GB"/>
        </w:rPr>
        <w:t xml:space="preserve"> Authority has continued to liaise closely with New Forest District Council on a range of cross boundary issues including housing needs, habitat mitigation, flood risk and the delivery of a nutrient neutrality and biodiversity enhancement site in the New Forest area.</w:t>
      </w:r>
      <w:r>
        <w:rPr>
          <w:rFonts w:ascii="Arial" w:hAnsi="Arial" w:cs="Arial"/>
          <w:lang w:val="en-GB"/>
        </w:rPr>
        <w:t xml:space="preserve"> This has included joint commissioning of local plan evidence base studies to inform each of our Local Plan Reviews</w:t>
      </w:r>
      <w:r w:rsidR="00AF24E7">
        <w:rPr>
          <w:rFonts w:ascii="Arial" w:hAnsi="Arial" w:cs="Arial"/>
          <w:lang w:val="en-GB"/>
        </w:rPr>
        <w:t xml:space="preserve">, </w:t>
      </w:r>
      <w:proofErr w:type="gramStart"/>
      <w:r w:rsidR="00AF24E7">
        <w:rPr>
          <w:rFonts w:ascii="Arial" w:hAnsi="Arial" w:cs="Arial"/>
          <w:lang w:val="en-GB"/>
        </w:rPr>
        <w:t>in particular</w:t>
      </w:r>
      <w:proofErr w:type="gramEnd"/>
      <w:r w:rsidR="00AF24E7">
        <w:rPr>
          <w:rFonts w:ascii="Arial" w:hAnsi="Arial" w:cs="Arial"/>
          <w:lang w:val="en-GB"/>
        </w:rPr>
        <w:t xml:space="preserve"> the Housing Needs Assessment</w:t>
      </w:r>
      <w:r w:rsidR="00830A60">
        <w:rPr>
          <w:rFonts w:ascii="Arial" w:hAnsi="Arial" w:cs="Arial"/>
          <w:lang w:val="en-GB"/>
        </w:rPr>
        <w:t>, Economic Needs Assessment and the Gypsy and Traveller Accommodation Assessment</w:t>
      </w:r>
      <w:r>
        <w:rPr>
          <w:rFonts w:ascii="Arial" w:hAnsi="Arial" w:cs="Arial"/>
          <w:lang w:val="en-GB"/>
        </w:rPr>
        <w:t xml:space="preserve">. </w:t>
      </w:r>
    </w:p>
    <w:p w14:paraId="0B4E63F2" w14:textId="77777777" w:rsidR="00011D29" w:rsidRPr="00217CA0" w:rsidRDefault="00011D29" w:rsidP="00011D29"/>
    <w:p w14:paraId="595CE1BA" w14:textId="6082C7B4" w:rsidR="00011D29" w:rsidRPr="00217CA0" w:rsidRDefault="00011D29" w:rsidP="00011D29">
      <w:pPr>
        <w:pStyle w:val="NormalWeb"/>
        <w:numPr>
          <w:ilvl w:val="1"/>
          <w:numId w:val="3"/>
        </w:numPr>
        <w:shd w:val="clear" w:color="auto" w:fill="FFFFFF"/>
        <w:tabs>
          <w:tab w:val="clear" w:pos="360"/>
        </w:tabs>
        <w:spacing w:before="0" w:after="0"/>
        <w:ind w:left="567" w:hanging="567"/>
        <w:rPr>
          <w:rFonts w:ascii="Arial" w:hAnsi="Arial" w:cs="Arial"/>
          <w:lang w:val="en-GB"/>
        </w:rPr>
      </w:pPr>
      <w:r w:rsidRPr="008B5A5D">
        <w:rPr>
          <w:rFonts w:ascii="Arial" w:hAnsi="Arial" w:cs="Arial"/>
          <w:lang w:val="en-GB"/>
        </w:rPr>
        <w:t>Officers</w:t>
      </w:r>
      <w:r w:rsidRPr="00217CA0">
        <w:rPr>
          <w:rFonts w:ascii="Arial" w:hAnsi="Arial" w:cs="Arial"/>
          <w:lang w:val="en-GB"/>
        </w:rPr>
        <w:t xml:space="preserve"> have liaised with neighbouring planning authorities, together with Natural England and Forestry England, to ensure the recreational impacts of their planned development on the New Forest’s designated sites are appropriately addressed. Specialist consultants (Footprint Ecology) </w:t>
      </w:r>
      <w:r w:rsidR="00190334">
        <w:rPr>
          <w:rFonts w:ascii="Arial" w:hAnsi="Arial" w:cs="Arial"/>
          <w:lang w:val="en-GB"/>
        </w:rPr>
        <w:t>are</w:t>
      </w:r>
      <w:r w:rsidRPr="00217CA0">
        <w:rPr>
          <w:rFonts w:ascii="Arial" w:hAnsi="Arial" w:cs="Arial"/>
          <w:lang w:val="en-GB"/>
        </w:rPr>
        <w:t xml:space="preserve"> undertak</w:t>
      </w:r>
      <w:r w:rsidR="00190334">
        <w:rPr>
          <w:rFonts w:ascii="Arial" w:hAnsi="Arial" w:cs="Arial"/>
          <w:lang w:val="en-GB"/>
        </w:rPr>
        <w:t>ing</w:t>
      </w:r>
      <w:r w:rsidRPr="00217CA0">
        <w:rPr>
          <w:rFonts w:ascii="Arial" w:hAnsi="Arial" w:cs="Arial"/>
          <w:lang w:val="en-GB"/>
        </w:rPr>
        <w:t xml:space="preserve"> further work on the recommended package of strategic access and monitoring measures (SAMM) within the New Forest’s internationally protected habitats.</w:t>
      </w:r>
      <w:r>
        <w:rPr>
          <w:rFonts w:ascii="Arial" w:hAnsi="Arial" w:cs="Arial"/>
          <w:lang w:val="en-GB"/>
        </w:rPr>
        <w:t xml:space="preserve"> There are already examples of the cross-boundary use of developer contributions to mitigate the recreational impacts of planned new development on the New Forest’s designated sites. The Authority also works with other planning authorities along the Solent Coast to mitigation </w:t>
      </w:r>
      <w:r>
        <w:rPr>
          <w:rFonts w:ascii="Arial" w:hAnsi="Arial" w:cs="Arial"/>
          <w:lang w:val="en-GB"/>
        </w:rPr>
        <w:lastRenderedPageBreak/>
        <w:t xml:space="preserve">recreational impacts arising from development within 5.6km of the Solent’s internationally designated sites. </w:t>
      </w:r>
    </w:p>
    <w:p w14:paraId="5B4C79DB" w14:textId="77777777" w:rsidR="00011D29" w:rsidRPr="00217CA0" w:rsidRDefault="00011D29" w:rsidP="00011D29"/>
    <w:p w14:paraId="1FEBA5DF" w14:textId="77777777" w:rsidR="00011D29" w:rsidRPr="00217CA0" w:rsidRDefault="00011D29" w:rsidP="00011D29">
      <w:pPr>
        <w:pStyle w:val="NormalWeb"/>
        <w:numPr>
          <w:ilvl w:val="1"/>
          <w:numId w:val="3"/>
        </w:numPr>
        <w:shd w:val="clear" w:color="auto" w:fill="FFFFFF"/>
        <w:tabs>
          <w:tab w:val="clear" w:pos="360"/>
        </w:tabs>
        <w:spacing w:before="0" w:after="0"/>
        <w:ind w:left="567" w:hanging="567"/>
        <w:rPr>
          <w:rFonts w:ascii="Arial" w:hAnsi="Arial" w:cs="Arial"/>
          <w:lang w:val="en-GB"/>
        </w:rPr>
      </w:pPr>
      <w:r w:rsidRPr="008B5A5D">
        <w:rPr>
          <w:rFonts w:ascii="Arial" w:hAnsi="Arial" w:cs="Arial"/>
          <w:lang w:val="en-GB"/>
        </w:rPr>
        <w:t>Regular</w:t>
      </w:r>
      <w:r w:rsidRPr="00217CA0">
        <w:rPr>
          <w:rFonts w:ascii="Arial" w:hAnsi="Arial" w:cs="Arial"/>
          <w:lang w:val="en-GB"/>
        </w:rPr>
        <w:t xml:space="preserve"> liaison with planning officers at other UK National Park Authorities is also undertaken both on a formal and informal basis. In addition, officers continue to attend regular meetings of the </w:t>
      </w:r>
      <w:proofErr w:type="gramStart"/>
      <w:r w:rsidRPr="00217CA0">
        <w:rPr>
          <w:rFonts w:ascii="Arial" w:hAnsi="Arial" w:cs="Arial"/>
          <w:lang w:val="en-GB"/>
        </w:rPr>
        <w:t>South East</w:t>
      </w:r>
      <w:proofErr w:type="gramEnd"/>
      <w:r w:rsidRPr="00217CA0">
        <w:rPr>
          <w:rFonts w:ascii="Arial" w:hAnsi="Arial" w:cs="Arial"/>
          <w:lang w:val="en-GB"/>
        </w:rPr>
        <w:t xml:space="preserve"> Protected Landscapes Group with officers of other National Park Authorities and </w:t>
      </w:r>
      <w:r>
        <w:rPr>
          <w:rFonts w:ascii="Arial" w:hAnsi="Arial" w:cs="Arial"/>
          <w:lang w:val="en-GB"/>
        </w:rPr>
        <w:t>National Landscape</w:t>
      </w:r>
      <w:r w:rsidRPr="00217CA0">
        <w:rPr>
          <w:rFonts w:ascii="Arial" w:hAnsi="Arial" w:cs="Arial"/>
          <w:lang w:val="en-GB"/>
        </w:rPr>
        <w:t xml:space="preserve"> Committees, sharing examples of good practice in rural planning. </w:t>
      </w:r>
    </w:p>
    <w:p w14:paraId="2E47114A" w14:textId="77777777" w:rsidR="00011D29" w:rsidRDefault="00011D29" w:rsidP="00011D29">
      <w:pPr>
        <w:spacing w:after="160" w:line="259" w:lineRule="auto"/>
        <w:rPr>
          <w:rFonts w:eastAsia="Times New Roman"/>
          <w:szCs w:val="24"/>
          <w:lang w:eastAsia="ar-SA"/>
        </w:rPr>
      </w:pPr>
    </w:p>
    <w:p w14:paraId="77EBEC64" w14:textId="77777777" w:rsidR="00011D29" w:rsidRPr="00217CA0" w:rsidRDefault="00011D29" w:rsidP="00011D29">
      <w:pPr>
        <w:pStyle w:val="Heading3"/>
      </w:pPr>
      <w:r w:rsidRPr="00217CA0">
        <w:t>Liaison with other statutory organisations</w:t>
      </w:r>
    </w:p>
    <w:p w14:paraId="30D8B5FC" w14:textId="77777777" w:rsidR="00011D29" w:rsidRPr="00217CA0" w:rsidRDefault="00011D29" w:rsidP="00011D29"/>
    <w:p w14:paraId="04CA4F8E" w14:textId="77777777" w:rsidR="00011D29" w:rsidRPr="00217CA0" w:rsidRDefault="00011D29" w:rsidP="00011D29">
      <w:pPr>
        <w:pStyle w:val="NormalWeb"/>
        <w:numPr>
          <w:ilvl w:val="1"/>
          <w:numId w:val="3"/>
        </w:numPr>
        <w:shd w:val="clear" w:color="auto" w:fill="FFFFFF"/>
        <w:tabs>
          <w:tab w:val="clear" w:pos="360"/>
        </w:tabs>
        <w:spacing w:before="0" w:after="0"/>
        <w:ind w:left="567" w:hanging="567"/>
        <w:rPr>
          <w:rFonts w:ascii="Arial" w:hAnsi="Arial" w:cs="Arial"/>
          <w:lang w:val="en-GB"/>
        </w:rPr>
      </w:pPr>
      <w:r w:rsidRPr="008B5A5D">
        <w:rPr>
          <w:rFonts w:ascii="Arial" w:hAnsi="Arial" w:cs="Arial"/>
          <w:lang w:val="en-GB"/>
        </w:rPr>
        <w:t>Engagement</w:t>
      </w:r>
      <w:r w:rsidRPr="00217CA0">
        <w:rPr>
          <w:rFonts w:ascii="Arial" w:hAnsi="Arial" w:cs="Arial"/>
          <w:lang w:val="en-GB"/>
        </w:rPr>
        <w:t xml:space="preserve"> with a range of statutory organisations, including Natural England, Historic England and the Environment Agency has been undertaken, in relation to specific planning applications and other strategic projects where appropriate. </w:t>
      </w:r>
    </w:p>
    <w:p w14:paraId="605AA73E" w14:textId="77777777" w:rsidR="00011D29" w:rsidRPr="00217CA0" w:rsidRDefault="00011D29" w:rsidP="00011D29">
      <w:pPr>
        <w:pStyle w:val="NormalWeb"/>
        <w:shd w:val="clear" w:color="auto" w:fill="FFFFFF"/>
        <w:spacing w:before="0" w:after="0"/>
        <w:ind w:left="567" w:hanging="567"/>
        <w:rPr>
          <w:rFonts w:ascii="Arial" w:hAnsi="Arial" w:cs="Arial"/>
          <w:lang w:val="en-GB"/>
        </w:rPr>
      </w:pPr>
    </w:p>
    <w:p w14:paraId="10CED942" w14:textId="77777777" w:rsidR="00011D29" w:rsidRPr="00217CA0" w:rsidRDefault="00011D29" w:rsidP="00011D29">
      <w:pPr>
        <w:pStyle w:val="NormalWeb"/>
        <w:numPr>
          <w:ilvl w:val="1"/>
          <w:numId w:val="3"/>
        </w:numPr>
        <w:shd w:val="clear" w:color="auto" w:fill="FFFFFF"/>
        <w:tabs>
          <w:tab w:val="clear" w:pos="360"/>
        </w:tabs>
        <w:spacing w:before="0" w:after="0"/>
        <w:ind w:left="567" w:hanging="567"/>
        <w:rPr>
          <w:rFonts w:ascii="Arial" w:hAnsi="Arial" w:cs="Arial"/>
          <w:lang w:val="en-GB"/>
        </w:rPr>
      </w:pPr>
      <w:r w:rsidRPr="008B5A5D">
        <w:rPr>
          <w:rFonts w:ascii="Arial" w:hAnsi="Arial" w:cs="Arial"/>
          <w:lang w:val="en-GB"/>
        </w:rPr>
        <w:t>The</w:t>
      </w:r>
      <w:r w:rsidRPr="00217CA0">
        <w:rPr>
          <w:rFonts w:ascii="Arial" w:hAnsi="Arial" w:cs="Arial"/>
          <w:lang w:val="en-GB"/>
        </w:rPr>
        <w:t xml:space="preserve"> </w:t>
      </w:r>
      <w:r w:rsidRPr="008E2286">
        <w:rPr>
          <w:rFonts w:ascii="Arial" w:hAnsi="Arial" w:cs="Arial"/>
          <w:lang w:val="en-GB"/>
        </w:rPr>
        <w:t>Authority’s</w:t>
      </w:r>
      <w:r w:rsidRPr="00217CA0">
        <w:rPr>
          <w:rFonts w:ascii="Arial" w:hAnsi="Arial" w:cs="Arial"/>
          <w:lang w:val="en-GB"/>
        </w:rPr>
        <w:t xml:space="preserve"> officers meet annually with officers from Natural England, the RSPB, the Hampshire and Isle of Wight Wildlife Trust and New Forest District Council, to oversee the implementation of the Authority's habitat mitigation scheme and to determine which mitigation projects to prioritise.  </w:t>
      </w:r>
    </w:p>
    <w:p w14:paraId="35384B2F" w14:textId="77777777" w:rsidR="00011D29" w:rsidRPr="00217CA0" w:rsidRDefault="00011D29" w:rsidP="00011D29">
      <w:pPr>
        <w:pStyle w:val="NormalWeb"/>
        <w:shd w:val="clear" w:color="auto" w:fill="FFFFFF"/>
        <w:spacing w:before="0" w:after="0"/>
        <w:rPr>
          <w:rFonts w:ascii="Arial" w:hAnsi="Arial" w:cs="Arial"/>
          <w:b/>
          <w:szCs w:val="40"/>
          <w:lang w:val="en-GB"/>
        </w:rPr>
      </w:pPr>
    </w:p>
    <w:p w14:paraId="4BA91155" w14:textId="77777777" w:rsidR="00011D29" w:rsidRPr="00217CA0" w:rsidRDefault="00011D29" w:rsidP="00011D29">
      <w:pPr>
        <w:pStyle w:val="Heading2"/>
        <w:spacing w:before="0"/>
        <w:ind w:firstLine="567"/>
      </w:pPr>
      <w:r w:rsidRPr="008B5A5D">
        <w:t>Format</w:t>
      </w:r>
      <w:r w:rsidRPr="00217CA0">
        <w:t xml:space="preserve"> of this report</w:t>
      </w:r>
    </w:p>
    <w:p w14:paraId="300AB9C1" w14:textId="77777777" w:rsidR="00011D29" w:rsidRPr="00217CA0" w:rsidRDefault="00011D29" w:rsidP="00011D29">
      <w:pPr>
        <w:pStyle w:val="NormalWeb"/>
        <w:shd w:val="clear" w:color="auto" w:fill="FFFFFF"/>
        <w:spacing w:before="0" w:after="0"/>
        <w:ind w:left="709" w:hanging="709"/>
        <w:rPr>
          <w:rFonts w:ascii="Arial" w:hAnsi="Arial" w:cs="Arial"/>
          <w:szCs w:val="32"/>
          <w:lang w:val="en-GB"/>
        </w:rPr>
      </w:pPr>
    </w:p>
    <w:p w14:paraId="2684ECB8" w14:textId="77777777" w:rsidR="00011D29" w:rsidRPr="00217CA0" w:rsidRDefault="00011D29" w:rsidP="00011D29">
      <w:pPr>
        <w:pStyle w:val="NormalWeb"/>
        <w:numPr>
          <w:ilvl w:val="1"/>
          <w:numId w:val="3"/>
        </w:numPr>
        <w:shd w:val="clear" w:color="auto" w:fill="FFFFFF"/>
        <w:tabs>
          <w:tab w:val="clear" w:pos="360"/>
        </w:tabs>
        <w:spacing w:before="0" w:after="0"/>
        <w:ind w:left="567" w:hanging="567"/>
        <w:rPr>
          <w:rFonts w:ascii="Arial" w:hAnsi="Arial" w:cs="Arial"/>
          <w:lang w:val="en-GB"/>
        </w:rPr>
      </w:pPr>
      <w:r w:rsidRPr="00217CA0">
        <w:rPr>
          <w:rFonts w:ascii="Arial" w:hAnsi="Arial" w:cs="Arial"/>
          <w:lang w:val="en-GB"/>
        </w:rPr>
        <w:t xml:space="preserve">This report covers the entirety of the National Park and assesses the effectiveness of the Authority’s planning policies in the adopted Local Plan. The report details the monitoring indicators set out in the Local Plan and focuses explicitly on planning statistics and related issues. It does not seek to replicate data and information that is covered elsewhere, </w:t>
      </w:r>
      <w:proofErr w:type="gramStart"/>
      <w:r w:rsidRPr="00217CA0">
        <w:rPr>
          <w:rFonts w:ascii="Arial" w:hAnsi="Arial" w:cs="Arial"/>
          <w:lang w:val="en-GB"/>
        </w:rPr>
        <w:t>in particular in</w:t>
      </w:r>
      <w:proofErr w:type="gramEnd"/>
      <w:r w:rsidRPr="00217CA0">
        <w:rPr>
          <w:rFonts w:ascii="Arial" w:hAnsi="Arial" w:cs="Arial"/>
          <w:lang w:val="en-GB"/>
        </w:rPr>
        <w:t xml:space="preserve"> the Authority’s State of the Park Report. That report is updated on a regular basis and covers topics such as water quality, animal accidents and sustainable transport. Further information on developer contributions is set out in the Authority’s Infrastructure Funding Statement</w:t>
      </w:r>
      <w:r>
        <w:rPr>
          <w:rFonts w:ascii="Arial" w:hAnsi="Arial" w:cs="Arial"/>
          <w:lang w:val="en-GB"/>
        </w:rPr>
        <w:t xml:space="preserve"> published annually in December</w:t>
      </w:r>
      <w:r w:rsidRPr="00217CA0">
        <w:rPr>
          <w:rFonts w:ascii="Arial" w:hAnsi="Arial" w:cs="Arial"/>
          <w:lang w:val="en-GB"/>
        </w:rPr>
        <w:t xml:space="preserve">. </w:t>
      </w:r>
    </w:p>
    <w:p w14:paraId="547A0CE2" w14:textId="77777777" w:rsidR="00011D29" w:rsidRPr="00217CA0" w:rsidRDefault="00011D29" w:rsidP="00011D29">
      <w:pPr>
        <w:pStyle w:val="NormalWeb"/>
        <w:shd w:val="clear" w:color="auto" w:fill="FFFFFF"/>
        <w:spacing w:before="0" w:after="0"/>
        <w:ind w:left="567" w:hanging="567"/>
        <w:rPr>
          <w:rFonts w:ascii="Arial" w:hAnsi="Arial" w:cs="Arial"/>
          <w:lang w:val="en-GB"/>
        </w:rPr>
      </w:pPr>
    </w:p>
    <w:p w14:paraId="694D2339" w14:textId="77777777" w:rsidR="00011D29" w:rsidRPr="00217CA0" w:rsidRDefault="00011D29" w:rsidP="00011D29">
      <w:pPr>
        <w:pStyle w:val="NormalWeb"/>
        <w:numPr>
          <w:ilvl w:val="1"/>
          <w:numId w:val="3"/>
        </w:numPr>
        <w:shd w:val="clear" w:color="auto" w:fill="FFFFFF"/>
        <w:tabs>
          <w:tab w:val="clear" w:pos="360"/>
        </w:tabs>
        <w:spacing w:before="0" w:after="0"/>
        <w:ind w:left="567" w:hanging="567"/>
        <w:rPr>
          <w:rFonts w:ascii="Arial" w:hAnsi="Arial" w:cs="Arial"/>
          <w:lang w:val="en-GB"/>
        </w:rPr>
      </w:pPr>
      <w:r w:rsidRPr="00217CA0">
        <w:rPr>
          <w:rFonts w:ascii="Arial" w:hAnsi="Arial" w:cs="Arial"/>
          <w:lang w:val="en-GB"/>
        </w:rPr>
        <w:t>This document, and previous years’ monitoring reports, can be viewed on the planning policy pages of the Authority’s website. Any comments and queries on this monitoring report should be addressed to the Policy and Conservation Team at the National Park Authority using the contact details set out below.</w:t>
      </w:r>
    </w:p>
    <w:p w14:paraId="4F4D3BD7" w14:textId="77777777" w:rsidR="00011D29" w:rsidRPr="00217CA0" w:rsidRDefault="00011D29" w:rsidP="00011D29">
      <w:pPr>
        <w:pStyle w:val="NormalWeb"/>
        <w:shd w:val="clear" w:color="auto" w:fill="FFFFFF"/>
        <w:spacing w:before="0" w:after="0"/>
        <w:jc w:val="both"/>
        <w:rPr>
          <w:rFonts w:ascii="Arial" w:hAnsi="Arial" w:cs="Arial"/>
          <w:lang w:val="en-GB"/>
        </w:rPr>
      </w:pPr>
    </w:p>
    <w:p w14:paraId="60FD83CA" w14:textId="77777777" w:rsidR="00011D29" w:rsidRPr="00217CA0" w:rsidRDefault="00011D29" w:rsidP="00011D29">
      <w:pPr>
        <w:pStyle w:val="NormalWeb"/>
        <w:shd w:val="clear" w:color="auto" w:fill="FFFFFF"/>
        <w:spacing w:before="0" w:after="0"/>
        <w:ind w:left="567"/>
        <w:jc w:val="both"/>
        <w:rPr>
          <w:rFonts w:ascii="Arial" w:hAnsi="Arial" w:cs="Arial"/>
          <w:lang w:val="en-GB"/>
        </w:rPr>
      </w:pPr>
      <w:r w:rsidRPr="00217CA0">
        <w:rPr>
          <w:rFonts w:ascii="Arial" w:hAnsi="Arial" w:cs="Arial"/>
          <w:lang w:val="en-GB"/>
        </w:rPr>
        <w:t>Policy and Conservation Team</w:t>
      </w:r>
    </w:p>
    <w:p w14:paraId="78B5D0AB" w14:textId="77777777" w:rsidR="00011D29" w:rsidRPr="00217CA0" w:rsidRDefault="00011D29" w:rsidP="00011D29">
      <w:pPr>
        <w:pStyle w:val="NormalWeb"/>
        <w:shd w:val="clear" w:color="auto" w:fill="FFFFFF"/>
        <w:spacing w:before="0" w:after="0"/>
        <w:ind w:left="567"/>
        <w:jc w:val="both"/>
        <w:rPr>
          <w:rFonts w:ascii="Arial" w:hAnsi="Arial" w:cs="Arial"/>
          <w:lang w:val="en-GB"/>
        </w:rPr>
      </w:pPr>
      <w:r w:rsidRPr="00217CA0">
        <w:rPr>
          <w:rFonts w:ascii="Arial" w:hAnsi="Arial" w:cs="Arial"/>
          <w:lang w:val="en-GB"/>
        </w:rPr>
        <w:t>New Forest National Park Authority</w:t>
      </w:r>
    </w:p>
    <w:p w14:paraId="72132CB9" w14:textId="77777777" w:rsidR="00011D29" w:rsidRPr="00217CA0" w:rsidRDefault="00011D29" w:rsidP="00011D29">
      <w:pPr>
        <w:pStyle w:val="NormalWeb"/>
        <w:shd w:val="clear" w:color="auto" w:fill="FFFFFF"/>
        <w:spacing w:before="0" w:after="0"/>
        <w:ind w:left="567"/>
        <w:jc w:val="both"/>
        <w:rPr>
          <w:rFonts w:ascii="Arial" w:hAnsi="Arial" w:cs="Arial"/>
          <w:lang w:val="en-GB"/>
        </w:rPr>
      </w:pPr>
      <w:r w:rsidRPr="00217CA0">
        <w:rPr>
          <w:rFonts w:ascii="Arial" w:hAnsi="Arial" w:cs="Arial"/>
          <w:lang w:val="en-GB"/>
        </w:rPr>
        <w:t>Lymington Town Hall</w:t>
      </w:r>
    </w:p>
    <w:p w14:paraId="64A7B81B" w14:textId="77777777" w:rsidR="00011D29" w:rsidRPr="00217CA0" w:rsidRDefault="00011D29" w:rsidP="00011D29">
      <w:pPr>
        <w:pStyle w:val="NormalWeb"/>
        <w:shd w:val="clear" w:color="auto" w:fill="FFFFFF"/>
        <w:spacing w:before="0" w:after="0"/>
        <w:ind w:left="567"/>
        <w:jc w:val="both"/>
        <w:rPr>
          <w:rFonts w:ascii="Arial" w:hAnsi="Arial" w:cs="Arial"/>
          <w:lang w:val="en-GB"/>
        </w:rPr>
      </w:pPr>
      <w:r w:rsidRPr="00217CA0">
        <w:rPr>
          <w:rFonts w:ascii="Arial" w:hAnsi="Arial" w:cs="Arial"/>
          <w:lang w:val="en-GB"/>
        </w:rPr>
        <w:t>Avenue Road</w:t>
      </w:r>
    </w:p>
    <w:p w14:paraId="16B14541" w14:textId="71FCDFD3" w:rsidR="00011D29" w:rsidRPr="00217CA0" w:rsidRDefault="00011D29" w:rsidP="00011D29">
      <w:pPr>
        <w:pStyle w:val="NormalWeb"/>
        <w:shd w:val="clear" w:color="auto" w:fill="FFFFFF"/>
        <w:spacing w:before="0" w:after="0"/>
        <w:ind w:left="567"/>
        <w:jc w:val="both"/>
        <w:rPr>
          <w:rFonts w:ascii="Arial" w:hAnsi="Arial" w:cs="Arial"/>
          <w:lang w:val="en-GB"/>
        </w:rPr>
      </w:pPr>
      <w:r w:rsidRPr="00217CA0">
        <w:rPr>
          <w:rFonts w:ascii="Arial" w:hAnsi="Arial" w:cs="Arial"/>
          <w:lang w:val="en-GB"/>
        </w:rPr>
        <w:t>Lymington</w:t>
      </w:r>
      <w:r w:rsidR="000619EF">
        <w:rPr>
          <w:rFonts w:ascii="Arial" w:hAnsi="Arial" w:cs="Arial"/>
          <w:lang w:val="en-GB"/>
        </w:rPr>
        <w:t xml:space="preserve"> </w:t>
      </w:r>
      <w:r w:rsidRPr="00217CA0">
        <w:rPr>
          <w:rFonts w:ascii="Arial" w:hAnsi="Arial" w:cs="Arial"/>
          <w:lang w:val="en-GB"/>
        </w:rPr>
        <w:t>SO41 9ZG</w:t>
      </w:r>
    </w:p>
    <w:p w14:paraId="29BA7FD8" w14:textId="77777777" w:rsidR="00011D29" w:rsidRPr="00217CA0" w:rsidRDefault="00011D29" w:rsidP="00011D29">
      <w:pPr>
        <w:pStyle w:val="NormalWeb"/>
        <w:shd w:val="clear" w:color="auto" w:fill="FFFFFF"/>
        <w:spacing w:before="0" w:after="0"/>
        <w:ind w:left="567"/>
        <w:jc w:val="both"/>
        <w:rPr>
          <w:rFonts w:ascii="Arial" w:hAnsi="Arial" w:cs="Arial"/>
          <w:sz w:val="18"/>
          <w:szCs w:val="20"/>
          <w:lang w:val="en-GB"/>
        </w:rPr>
      </w:pPr>
    </w:p>
    <w:p w14:paraId="72C741E8" w14:textId="77777777" w:rsidR="00011D29" w:rsidRPr="00217CA0" w:rsidRDefault="00011D29" w:rsidP="00011D29">
      <w:pPr>
        <w:pStyle w:val="NormalWeb"/>
        <w:shd w:val="clear" w:color="auto" w:fill="FFFFFF"/>
        <w:spacing w:before="0" w:after="0"/>
        <w:ind w:left="567"/>
        <w:jc w:val="both"/>
        <w:rPr>
          <w:rFonts w:ascii="Arial" w:hAnsi="Arial" w:cs="Arial"/>
          <w:lang w:val="en-GB"/>
        </w:rPr>
      </w:pPr>
      <w:r w:rsidRPr="00217CA0">
        <w:rPr>
          <w:rFonts w:ascii="Arial" w:hAnsi="Arial" w:cs="Arial"/>
          <w:b/>
          <w:lang w:val="en-GB"/>
        </w:rPr>
        <w:t>Tel:</w:t>
      </w:r>
      <w:r w:rsidRPr="00217CA0">
        <w:rPr>
          <w:rFonts w:ascii="Arial" w:hAnsi="Arial" w:cs="Arial"/>
          <w:lang w:val="en-GB"/>
        </w:rPr>
        <w:t xml:space="preserve"> 01590 646600</w:t>
      </w:r>
    </w:p>
    <w:p w14:paraId="4677580B" w14:textId="13E212CD" w:rsidR="00011D29" w:rsidRPr="00217CA0" w:rsidRDefault="002D222F" w:rsidP="002D222F">
      <w:pPr>
        <w:ind w:firstLine="567"/>
      </w:pPr>
      <w:r>
        <w:rPr>
          <w:b/>
        </w:rPr>
        <w:t>E</w:t>
      </w:r>
      <w:r w:rsidR="00011D29" w:rsidRPr="00217CA0">
        <w:rPr>
          <w:b/>
        </w:rPr>
        <w:t>mail:</w:t>
      </w:r>
      <w:r w:rsidR="00011D29" w:rsidRPr="00217CA0">
        <w:t xml:space="preserve">  </w:t>
      </w:r>
      <w:hyperlink r:id="rId14" w:history="1">
        <w:r w:rsidR="00011D29" w:rsidRPr="00217CA0">
          <w:rPr>
            <w:rStyle w:val="Hyperlink"/>
          </w:rPr>
          <w:t>policy@newforestnpa.gov.uk</w:t>
        </w:r>
      </w:hyperlink>
      <w:r w:rsidR="00011D29" w:rsidRPr="00217CA0">
        <w:rPr>
          <w:b/>
          <w:sz w:val="28"/>
          <w:szCs w:val="28"/>
        </w:rPr>
        <w:br w:type="page"/>
      </w:r>
    </w:p>
    <w:p w14:paraId="6B796746" w14:textId="77777777" w:rsidR="00011D29" w:rsidRPr="00217CA0" w:rsidRDefault="00011D29" w:rsidP="00011D29">
      <w:pPr>
        <w:pStyle w:val="Heading1"/>
        <w:rPr>
          <w:szCs w:val="28"/>
        </w:rPr>
      </w:pPr>
      <w:bookmarkStart w:id="4" w:name="_Toc92364672"/>
      <w:r w:rsidRPr="00217CA0">
        <w:rPr>
          <w:szCs w:val="28"/>
        </w:rPr>
        <w:lastRenderedPageBreak/>
        <w:t>2.</w:t>
      </w:r>
      <w:r w:rsidRPr="00217CA0">
        <w:rPr>
          <w:szCs w:val="28"/>
        </w:rPr>
        <w:tab/>
      </w:r>
      <w:r w:rsidRPr="008B5A5D">
        <w:rPr>
          <w:rStyle w:val="Heading1Char"/>
          <w:b/>
          <w:bCs/>
        </w:rPr>
        <w:t>National</w:t>
      </w:r>
      <w:r w:rsidRPr="00217CA0">
        <w:rPr>
          <w:rStyle w:val="Heading1Char"/>
          <w:b/>
          <w:bCs/>
        </w:rPr>
        <w:t xml:space="preserve"> Park Profile</w:t>
      </w:r>
      <w:bookmarkEnd w:id="4"/>
    </w:p>
    <w:p w14:paraId="2B7BDAFF" w14:textId="77777777" w:rsidR="00011D29" w:rsidRPr="00217CA0" w:rsidRDefault="00011D29" w:rsidP="00011D29">
      <w:pPr>
        <w:rPr>
          <w:sz w:val="18"/>
        </w:rPr>
      </w:pPr>
    </w:p>
    <w:p w14:paraId="498D3823" w14:textId="77777777" w:rsidR="00011D29" w:rsidRPr="00217CA0" w:rsidRDefault="00011D29" w:rsidP="00011D29">
      <w:pPr>
        <w:numPr>
          <w:ilvl w:val="1"/>
          <w:numId w:val="4"/>
        </w:numPr>
        <w:tabs>
          <w:tab w:val="clear" w:pos="720"/>
        </w:tabs>
        <w:suppressAutoHyphens/>
        <w:ind w:left="567" w:hanging="567"/>
        <w:rPr>
          <w:rFonts w:ascii="Frutiger-Cn" w:hAnsi="Frutiger-Cn" w:cs="Frutiger-Cn"/>
        </w:rPr>
      </w:pPr>
      <w:r w:rsidRPr="00217CA0">
        <w:rPr>
          <w:rFonts w:ascii="Frutiger-Cn" w:hAnsi="Frutiger-Cn" w:cs="Frutiger-Cn"/>
        </w:rPr>
        <w:t xml:space="preserve">The New Forest covers a geographical area of </w:t>
      </w:r>
      <w:r w:rsidRPr="00217CA0">
        <w:t>56,658 hectares</w:t>
      </w:r>
      <w:r>
        <w:t xml:space="preserve"> (220 squares miles)</w:t>
      </w:r>
      <w:r w:rsidRPr="00217CA0">
        <w:rPr>
          <w:rFonts w:ascii="Frutiger-Cn" w:hAnsi="Frutiger-Cn" w:cs="Frutiger-Cn"/>
        </w:rPr>
        <w:t xml:space="preserve">. It includes the Open Forest, which most people identify as the heart of the Forest, together with a wider area of enclosed farmlands. The handful of large villages house </w:t>
      </w:r>
      <w:proofErr w:type="gramStart"/>
      <w:r w:rsidRPr="00217CA0">
        <w:rPr>
          <w:rFonts w:ascii="Frutiger-Cn" w:hAnsi="Frutiger-Cn" w:cs="Frutiger-Cn"/>
        </w:rPr>
        <w:t>the majority of</w:t>
      </w:r>
      <w:proofErr w:type="gramEnd"/>
      <w:r w:rsidRPr="00217CA0">
        <w:rPr>
          <w:rFonts w:ascii="Frutiger-Cn" w:hAnsi="Frutiger-Cn" w:cs="Frutiger-Cn"/>
        </w:rPr>
        <w:t xml:space="preserve"> the population of around 35,000 people.  Much of the area is sparsely populated, with villages and hamlets set in countryside of exceptional quality and natural beauty. Traditional land management, such as the ancient system of </w:t>
      </w:r>
      <w:proofErr w:type="spellStart"/>
      <w:r w:rsidRPr="00217CA0">
        <w:rPr>
          <w:rFonts w:ascii="Frutiger-Cn" w:hAnsi="Frutiger-Cn" w:cs="Frutiger-Cn"/>
        </w:rPr>
        <w:t>commoning</w:t>
      </w:r>
      <w:proofErr w:type="spellEnd"/>
      <w:r w:rsidRPr="00217CA0">
        <w:rPr>
          <w:rFonts w:ascii="Frutiger-Cn" w:hAnsi="Frutiger-Cn" w:cs="Frutiger-Cn"/>
        </w:rPr>
        <w:t>, is still practised in much of the Forest, and the cultural landscape and natural habitats are recognised to be of international importance.</w:t>
      </w:r>
    </w:p>
    <w:p w14:paraId="49AF65D7" w14:textId="77777777" w:rsidR="00011D29" w:rsidRPr="00217CA0" w:rsidRDefault="00011D29" w:rsidP="00011D29">
      <w:pPr>
        <w:ind w:left="567" w:hanging="567"/>
      </w:pPr>
    </w:p>
    <w:p w14:paraId="68E2BBC0" w14:textId="77777777" w:rsidR="00011D29" w:rsidRPr="00217CA0" w:rsidRDefault="00011D29" w:rsidP="00011D29">
      <w:pPr>
        <w:numPr>
          <w:ilvl w:val="1"/>
          <w:numId w:val="4"/>
        </w:numPr>
        <w:tabs>
          <w:tab w:val="clear" w:pos="720"/>
        </w:tabs>
        <w:suppressAutoHyphens/>
        <w:ind w:left="567" w:hanging="567"/>
        <w:rPr>
          <w:rFonts w:ascii="Frutiger-Cn" w:hAnsi="Frutiger-Cn" w:cs="Frutiger-Cn"/>
        </w:rPr>
      </w:pPr>
      <w:r w:rsidRPr="00217CA0">
        <w:rPr>
          <w:rFonts w:ascii="Frutiger-Cn" w:hAnsi="Frutiger-Cn" w:cs="Frutiger-Cn"/>
        </w:rPr>
        <w:t>However, the National Park is fringed by the expanding residential and industrial areas of the Bournemouth / Christchurch / Poole and South Hampshire conurbations in addition to Salisbury to the north, creating continual pressure for new development. It is easily reached by road from centres of population locally, and throughout southern England and attracts large numbers of visitors each year, with associated traffic problems and damage to the more fragile habitats.</w:t>
      </w:r>
    </w:p>
    <w:p w14:paraId="5D499C00" w14:textId="77777777" w:rsidR="00011D29" w:rsidRPr="00217CA0" w:rsidRDefault="00011D29" w:rsidP="00011D29">
      <w:pPr>
        <w:ind w:left="567" w:hanging="567"/>
      </w:pPr>
    </w:p>
    <w:p w14:paraId="6BF29160" w14:textId="77777777" w:rsidR="00011D29" w:rsidRPr="00217CA0" w:rsidRDefault="00011D29" w:rsidP="00011D29">
      <w:pPr>
        <w:numPr>
          <w:ilvl w:val="1"/>
          <w:numId w:val="4"/>
        </w:numPr>
        <w:tabs>
          <w:tab w:val="clear" w:pos="720"/>
        </w:tabs>
        <w:suppressAutoHyphens/>
        <w:ind w:left="567" w:hanging="567"/>
      </w:pPr>
      <w:r w:rsidRPr="00217CA0">
        <w:t>Additional statistics on the National Park are set out in the State of the Park report, which can be viewed on the Authority's website.</w:t>
      </w:r>
    </w:p>
    <w:p w14:paraId="53C006DC" w14:textId="77777777" w:rsidR="00011D29" w:rsidRPr="00217CA0" w:rsidRDefault="00011D29" w:rsidP="00011D29"/>
    <w:p w14:paraId="08D410D9" w14:textId="77777777" w:rsidR="00011D29" w:rsidRPr="00217CA0" w:rsidRDefault="00011D29" w:rsidP="00011D29"/>
    <w:p w14:paraId="4A971006" w14:textId="77777777" w:rsidR="00011D29" w:rsidRPr="00217CA0" w:rsidRDefault="00011D29" w:rsidP="00011D29">
      <w:pPr>
        <w:pStyle w:val="Heading2"/>
        <w:ind w:firstLine="567"/>
      </w:pPr>
      <w:r w:rsidRPr="00217CA0">
        <w:t>Issues and Challenges</w:t>
      </w:r>
    </w:p>
    <w:p w14:paraId="204EA30E" w14:textId="77777777" w:rsidR="00011D29" w:rsidRPr="00217CA0" w:rsidRDefault="00011D29" w:rsidP="00011D29">
      <w:pPr>
        <w:rPr>
          <w:sz w:val="20"/>
        </w:rPr>
      </w:pPr>
    </w:p>
    <w:p w14:paraId="03D200A5" w14:textId="2653E2DC" w:rsidR="00011D29" w:rsidRPr="00217CA0" w:rsidRDefault="00011D29" w:rsidP="00011D29">
      <w:pPr>
        <w:numPr>
          <w:ilvl w:val="1"/>
          <w:numId w:val="4"/>
        </w:numPr>
        <w:tabs>
          <w:tab w:val="clear" w:pos="720"/>
        </w:tabs>
        <w:suppressAutoHyphens/>
        <w:ind w:left="567" w:hanging="567"/>
      </w:pPr>
      <w:r w:rsidRPr="00217CA0">
        <w:t xml:space="preserve">The </w:t>
      </w:r>
      <w:r w:rsidR="007C7A71">
        <w:t xml:space="preserve">emerging draft </w:t>
      </w:r>
      <w:r w:rsidRPr="00217CA0">
        <w:t>New Forest National Park Local Plan</w:t>
      </w:r>
      <w:r w:rsidR="007C7A71">
        <w:t xml:space="preserve"> Review</w:t>
      </w:r>
      <w:r w:rsidRPr="00217CA0">
        <w:t xml:space="preserve">, which was </w:t>
      </w:r>
      <w:r w:rsidR="002F7D45">
        <w:t>published for public consultation in October 2025</w:t>
      </w:r>
      <w:r w:rsidRPr="00217CA0">
        <w:t>, identifies the following key issues and challenges for the National Park over the next 20 years:</w:t>
      </w:r>
    </w:p>
    <w:p w14:paraId="2A6F6208" w14:textId="77777777" w:rsidR="00011D29" w:rsidRPr="00217CA0" w:rsidRDefault="00011D29" w:rsidP="00011D29">
      <w:pPr>
        <w:rPr>
          <w:szCs w:val="36"/>
        </w:rPr>
      </w:pPr>
    </w:p>
    <w:p w14:paraId="0E108734" w14:textId="77777777" w:rsidR="00011D29" w:rsidRPr="00217CA0" w:rsidRDefault="00011D29" w:rsidP="00011D29">
      <w:pPr>
        <w:widowControl w:val="0"/>
        <w:numPr>
          <w:ilvl w:val="2"/>
          <w:numId w:val="17"/>
        </w:numPr>
        <w:ind w:left="1276" w:right="121" w:hanging="567"/>
        <w:rPr>
          <w:rFonts w:eastAsia="Arial"/>
          <w:szCs w:val="24"/>
        </w:rPr>
      </w:pPr>
      <w:r w:rsidRPr="00217CA0">
        <w:rPr>
          <w:rFonts w:eastAsia="Arial"/>
          <w:i/>
          <w:szCs w:val="24"/>
        </w:rPr>
        <w:t>Co</w:t>
      </w:r>
      <w:r w:rsidRPr="00217CA0">
        <w:rPr>
          <w:rFonts w:eastAsia="Arial"/>
          <w:i/>
          <w:spacing w:val="1"/>
          <w:szCs w:val="24"/>
        </w:rPr>
        <w:t>n</w:t>
      </w:r>
      <w:r w:rsidRPr="00217CA0">
        <w:rPr>
          <w:rFonts w:eastAsia="Arial"/>
          <w:i/>
          <w:szCs w:val="24"/>
        </w:rPr>
        <w:t>serv</w:t>
      </w:r>
      <w:r w:rsidRPr="00217CA0">
        <w:rPr>
          <w:rFonts w:eastAsia="Arial"/>
          <w:i/>
          <w:spacing w:val="-2"/>
          <w:szCs w:val="24"/>
        </w:rPr>
        <w:t>i</w:t>
      </w:r>
      <w:r w:rsidRPr="00217CA0">
        <w:rPr>
          <w:rFonts w:eastAsia="Arial"/>
          <w:i/>
          <w:szCs w:val="24"/>
        </w:rPr>
        <w:t>ng</w:t>
      </w:r>
      <w:r w:rsidRPr="00217CA0">
        <w:rPr>
          <w:rFonts w:eastAsia="Arial"/>
          <w:i/>
          <w:spacing w:val="62"/>
          <w:szCs w:val="24"/>
        </w:rPr>
        <w:t xml:space="preserve"> </w:t>
      </w:r>
      <w:r w:rsidRPr="00217CA0">
        <w:rPr>
          <w:rFonts w:eastAsia="Arial"/>
          <w:i/>
          <w:szCs w:val="24"/>
        </w:rPr>
        <w:t>a</w:t>
      </w:r>
      <w:r w:rsidRPr="00217CA0">
        <w:rPr>
          <w:rFonts w:eastAsia="Arial"/>
          <w:i/>
          <w:spacing w:val="-2"/>
          <w:szCs w:val="24"/>
        </w:rPr>
        <w:t>n</w:t>
      </w:r>
      <w:r w:rsidRPr="00217CA0">
        <w:rPr>
          <w:rFonts w:eastAsia="Arial"/>
          <w:i/>
          <w:szCs w:val="24"/>
        </w:rPr>
        <w:t>d</w:t>
      </w:r>
      <w:r w:rsidRPr="00217CA0">
        <w:rPr>
          <w:rFonts w:eastAsia="Arial"/>
          <w:i/>
          <w:spacing w:val="66"/>
          <w:szCs w:val="24"/>
        </w:rPr>
        <w:t xml:space="preserve"> </w:t>
      </w:r>
      <w:r w:rsidRPr="00217CA0">
        <w:rPr>
          <w:rFonts w:eastAsia="Arial"/>
          <w:i/>
          <w:szCs w:val="24"/>
        </w:rPr>
        <w:t>e</w:t>
      </w:r>
      <w:r w:rsidRPr="00217CA0">
        <w:rPr>
          <w:rFonts w:eastAsia="Arial"/>
          <w:i/>
          <w:spacing w:val="-2"/>
          <w:szCs w:val="24"/>
        </w:rPr>
        <w:t>n</w:t>
      </w:r>
      <w:r w:rsidRPr="00217CA0">
        <w:rPr>
          <w:rFonts w:eastAsia="Arial"/>
          <w:i/>
          <w:szCs w:val="24"/>
        </w:rPr>
        <w:t>h</w:t>
      </w:r>
      <w:r w:rsidRPr="00217CA0">
        <w:rPr>
          <w:rFonts w:eastAsia="Arial"/>
          <w:i/>
          <w:spacing w:val="-2"/>
          <w:szCs w:val="24"/>
        </w:rPr>
        <w:t>a</w:t>
      </w:r>
      <w:r w:rsidRPr="00217CA0">
        <w:rPr>
          <w:rFonts w:eastAsia="Arial"/>
          <w:i/>
          <w:szCs w:val="24"/>
        </w:rPr>
        <w:t>ncing</w:t>
      </w:r>
      <w:r w:rsidRPr="00217CA0">
        <w:rPr>
          <w:rFonts w:eastAsia="Arial"/>
          <w:i/>
          <w:spacing w:val="66"/>
          <w:szCs w:val="24"/>
        </w:rPr>
        <w:t xml:space="preserve"> </w:t>
      </w:r>
      <w:r w:rsidRPr="00217CA0">
        <w:rPr>
          <w:rFonts w:eastAsia="Arial"/>
          <w:i/>
          <w:spacing w:val="-2"/>
          <w:szCs w:val="24"/>
        </w:rPr>
        <w:t>t</w:t>
      </w:r>
      <w:r w:rsidRPr="00217CA0">
        <w:rPr>
          <w:rFonts w:eastAsia="Arial"/>
          <w:i/>
          <w:szCs w:val="24"/>
        </w:rPr>
        <w:t>he</w:t>
      </w:r>
      <w:r w:rsidRPr="00217CA0">
        <w:rPr>
          <w:rFonts w:eastAsia="Arial"/>
          <w:i/>
          <w:spacing w:val="62"/>
          <w:szCs w:val="24"/>
        </w:rPr>
        <w:t xml:space="preserve"> </w:t>
      </w:r>
      <w:r w:rsidRPr="00217CA0">
        <w:rPr>
          <w:rFonts w:eastAsia="Arial"/>
          <w:i/>
          <w:szCs w:val="24"/>
        </w:rPr>
        <w:t>nati</w:t>
      </w:r>
      <w:r w:rsidRPr="00217CA0">
        <w:rPr>
          <w:rFonts w:eastAsia="Arial"/>
          <w:i/>
          <w:spacing w:val="-2"/>
          <w:szCs w:val="24"/>
        </w:rPr>
        <w:t>o</w:t>
      </w:r>
      <w:r w:rsidRPr="00217CA0">
        <w:rPr>
          <w:rFonts w:eastAsia="Arial"/>
          <w:i/>
          <w:szCs w:val="24"/>
        </w:rPr>
        <w:t>nal</w:t>
      </w:r>
      <w:r w:rsidRPr="00217CA0">
        <w:rPr>
          <w:rFonts w:eastAsia="Arial"/>
          <w:i/>
          <w:spacing w:val="-1"/>
          <w:szCs w:val="24"/>
        </w:rPr>
        <w:t>l</w:t>
      </w:r>
      <w:r w:rsidRPr="00217CA0">
        <w:rPr>
          <w:rFonts w:eastAsia="Arial"/>
          <w:i/>
          <w:szCs w:val="24"/>
        </w:rPr>
        <w:t>y</w:t>
      </w:r>
      <w:r w:rsidRPr="00217CA0">
        <w:rPr>
          <w:rFonts w:eastAsia="Arial"/>
          <w:i/>
          <w:spacing w:val="65"/>
          <w:szCs w:val="24"/>
        </w:rPr>
        <w:t xml:space="preserve"> </w:t>
      </w:r>
      <w:r w:rsidRPr="00217CA0">
        <w:rPr>
          <w:rFonts w:eastAsia="Arial"/>
          <w:i/>
          <w:spacing w:val="-2"/>
          <w:szCs w:val="24"/>
        </w:rPr>
        <w:t>p</w:t>
      </w:r>
      <w:r w:rsidRPr="00217CA0">
        <w:rPr>
          <w:rFonts w:eastAsia="Arial"/>
          <w:i/>
          <w:szCs w:val="24"/>
        </w:rPr>
        <w:t>rot</w:t>
      </w:r>
      <w:r w:rsidRPr="00217CA0">
        <w:rPr>
          <w:rFonts w:eastAsia="Arial"/>
          <w:i/>
          <w:spacing w:val="1"/>
          <w:szCs w:val="24"/>
        </w:rPr>
        <w:t>e</w:t>
      </w:r>
      <w:r w:rsidRPr="00217CA0">
        <w:rPr>
          <w:rFonts w:eastAsia="Arial"/>
          <w:i/>
          <w:szCs w:val="24"/>
        </w:rPr>
        <w:t>ct</w:t>
      </w:r>
      <w:r w:rsidRPr="00217CA0">
        <w:rPr>
          <w:rFonts w:eastAsia="Arial"/>
          <w:i/>
          <w:spacing w:val="-1"/>
          <w:szCs w:val="24"/>
        </w:rPr>
        <w:t>e</w:t>
      </w:r>
      <w:r w:rsidRPr="00217CA0">
        <w:rPr>
          <w:rFonts w:eastAsia="Arial"/>
          <w:i/>
          <w:szCs w:val="24"/>
        </w:rPr>
        <w:t>d</w:t>
      </w:r>
      <w:r w:rsidRPr="00217CA0">
        <w:rPr>
          <w:rFonts w:eastAsia="Arial"/>
          <w:i/>
          <w:spacing w:val="66"/>
          <w:szCs w:val="24"/>
        </w:rPr>
        <w:t xml:space="preserve"> </w:t>
      </w:r>
      <w:r w:rsidRPr="00217CA0">
        <w:rPr>
          <w:rFonts w:eastAsia="Arial"/>
          <w:i/>
          <w:szCs w:val="24"/>
        </w:rPr>
        <w:t>la</w:t>
      </w:r>
      <w:r w:rsidRPr="00217CA0">
        <w:rPr>
          <w:rFonts w:eastAsia="Arial"/>
          <w:i/>
          <w:spacing w:val="-1"/>
          <w:szCs w:val="24"/>
        </w:rPr>
        <w:t>n</w:t>
      </w:r>
      <w:r w:rsidRPr="00217CA0">
        <w:rPr>
          <w:rFonts w:eastAsia="Arial"/>
          <w:i/>
          <w:szCs w:val="24"/>
        </w:rPr>
        <w:t>dsc</w:t>
      </w:r>
      <w:r w:rsidRPr="00217CA0">
        <w:rPr>
          <w:rFonts w:eastAsia="Arial"/>
          <w:i/>
          <w:spacing w:val="-2"/>
          <w:szCs w:val="24"/>
        </w:rPr>
        <w:t>a</w:t>
      </w:r>
      <w:r w:rsidRPr="00217CA0">
        <w:rPr>
          <w:rFonts w:eastAsia="Arial"/>
          <w:i/>
          <w:szCs w:val="24"/>
        </w:rPr>
        <w:t>pe</w:t>
      </w:r>
      <w:r w:rsidRPr="00217CA0">
        <w:rPr>
          <w:rFonts w:eastAsia="Arial"/>
          <w:i/>
          <w:spacing w:val="63"/>
          <w:szCs w:val="24"/>
        </w:rPr>
        <w:t xml:space="preserve"> </w:t>
      </w:r>
      <w:r w:rsidRPr="00217CA0">
        <w:rPr>
          <w:rFonts w:eastAsia="Arial"/>
          <w:i/>
          <w:szCs w:val="24"/>
        </w:rPr>
        <w:t>of</w:t>
      </w:r>
      <w:r w:rsidRPr="00217CA0">
        <w:rPr>
          <w:rFonts w:eastAsia="Arial"/>
          <w:i/>
          <w:spacing w:val="62"/>
          <w:szCs w:val="24"/>
        </w:rPr>
        <w:t xml:space="preserve"> </w:t>
      </w:r>
      <w:r w:rsidRPr="00217CA0">
        <w:rPr>
          <w:rFonts w:eastAsia="Arial"/>
          <w:i/>
          <w:szCs w:val="24"/>
        </w:rPr>
        <w:t>t</w:t>
      </w:r>
      <w:r w:rsidRPr="00217CA0">
        <w:rPr>
          <w:rFonts w:eastAsia="Arial"/>
          <w:i/>
          <w:spacing w:val="-1"/>
          <w:szCs w:val="24"/>
        </w:rPr>
        <w:t>h</w:t>
      </w:r>
      <w:r w:rsidRPr="00217CA0">
        <w:rPr>
          <w:rFonts w:eastAsia="Arial"/>
          <w:i/>
          <w:szCs w:val="24"/>
        </w:rPr>
        <w:t>e New</w:t>
      </w:r>
      <w:r w:rsidRPr="00217CA0">
        <w:rPr>
          <w:rFonts w:eastAsia="Arial"/>
          <w:i/>
          <w:spacing w:val="24"/>
          <w:szCs w:val="24"/>
        </w:rPr>
        <w:t xml:space="preserve"> </w:t>
      </w:r>
      <w:r w:rsidRPr="00217CA0">
        <w:rPr>
          <w:rFonts w:eastAsia="Arial"/>
          <w:i/>
          <w:szCs w:val="24"/>
        </w:rPr>
        <w:t>Fore</w:t>
      </w:r>
      <w:r w:rsidRPr="00217CA0">
        <w:rPr>
          <w:rFonts w:eastAsia="Arial"/>
          <w:i/>
          <w:spacing w:val="-3"/>
          <w:szCs w:val="24"/>
        </w:rPr>
        <w:t>s</w:t>
      </w:r>
      <w:r w:rsidRPr="00217CA0">
        <w:rPr>
          <w:rFonts w:eastAsia="Arial"/>
          <w:i/>
          <w:szCs w:val="24"/>
        </w:rPr>
        <w:t>t</w:t>
      </w:r>
      <w:r w:rsidRPr="00217CA0">
        <w:rPr>
          <w:rFonts w:eastAsia="Arial"/>
          <w:i/>
          <w:spacing w:val="24"/>
          <w:szCs w:val="24"/>
        </w:rPr>
        <w:t xml:space="preserve"> </w:t>
      </w:r>
      <w:r w:rsidRPr="00217CA0">
        <w:rPr>
          <w:rFonts w:eastAsia="Arial"/>
          <w:szCs w:val="24"/>
        </w:rPr>
        <w:t>–</w:t>
      </w:r>
      <w:r w:rsidRPr="00217CA0">
        <w:rPr>
          <w:rFonts w:eastAsia="Arial"/>
          <w:spacing w:val="23"/>
          <w:szCs w:val="24"/>
        </w:rPr>
        <w:t xml:space="preserve"> </w:t>
      </w:r>
      <w:r w:rsidRPr="00217CA0">
        <w:rPr>
          <w:rFonts w:eastAsia="Arial"/>
          <w:szCs w:val="24"/>
        </w:rPr>
        <w:t>t</w:t>
      </w:r>
      <w:r w:rsidRPr="00217CA0">
        <w:rPr>
          <w:rFonts w:eastAsia="Arial"/>
          <w:spacing w:val="-1"/>
          <w:szCs w:val="24"/>
        </w:rPr>
        <w:t>h</w:t>
      </w:r>
      <w:r w:rsidRPr="00217CA0">
        <w:rPr>
          <w:rFonts w:eastAsia="Arial"/>
          <w:szCs w:val="24"/>
        </w:rPr>
        <w:t>e</w:t>
      </w:r>
      <w:r w:rsidRPr="00217CA0">
        <w:rPr>
          <w:rFonts w:eastAsia="Arial"/>
          <w:spacing w:val="23"/>
          <w:szCs w:val="24"/>
        </w:rPr>
        <w:t xml:space="preserve"> </w:t>
      </w:r>
      <w:r w:rsidRPr="00217CA0">
        <w:rPr>
          <w:rFonts w:eastAsia="Arial"/>
          <w:spacing w:val="-2"/>
          <w:szCs w:val="24"/>
        </w:rPr>
        <w:t>o</w:t>
      </w:r>
      <w:r w:rsidRPr="00217CA0">
        <w:rPr>
          <w:rFonts w:eastAsia="Arial"/>
          <w:szCs w:val="24"/>
        </w:rPr>
        <w:t>utst</w:t>
      </w:r>
      <w:r w:rsidRPr="00217CA0">
        <w:rPr>
          <w:rFonts w:eastAsia="Arial"/>
          <w:spacing w:val="-2"/>
          <w:szCs w:val="24"/>
        </w:rPr>
        <w:t>a</w:t>
      </w:r>
      <w:r w:rsidRPr="00217CA0">
        <w:rPr>
          <w:rFonts w:eastAsia="Arial"/>
          <w:szCs w:val="24"/>
        </w:rPr>
        <w:t>nding</w:t>
      </w:r>
      <w:r w:rsidRPr="00217CA0">
        <w:rPr>
          <w:rFonts w:eastAsia="Arial"/>
          <w:spacing w:val="21"/>
          <w:szCs w:val="24"/>
        </w:rPr>
        <w:t xml:space="preserve"> </w:t>
      </w:r>
      <w:r w:rsidRPr="00217CA0">
        <w:rPr>
          <w:rFonts w:eastAsia="Arial"/>
          <w:szCs w:val="24"/>
        </w:rPr>
        <w:t>na</w:t>
      </w:r>
      <w:r w:rsidRPr="00217CA0">
        <w:rPr>
          <w:rFonts w:eastAsia="Arial"/>
          <w:spacing w:val="-2"/>
          <w:szCs w:val="24"/>
        </w:rPr>
        <w:t>t</w:t>
      </w:r>
      <w:r w:rsidRPr="00217CA0">
        <w:rPr>
          <w:rFonts w:eastAsia="Arial"/>
          <w:szCs w:val="24"/>
        </w:rPr>
        <w:t>ural</w:t>
      </w:r>
      <w:r w:rsidRPr="00217CA0">
        <w:rPr>
          <w:rFonts w:eastAsia="Arial"/>
          <w:spacing w:val="22"/>
          <w:szCs w:val="24"/>
        </w:rPr>
        <w:t xml:space="preserve"> </w:t>
      </w:r>
      <w:r w:rsidRPr="00217CA0">
        <w:rPr>
          <w:rFonts w:eastAsia="Arial"/>
          <w:szCs w:val="24"/>
        </w:rPr>
        <w:t>b</w:t>
      </w:r>
      <w:r w:rsidRPr="00217CA0">
        <w:rPr>
          <w:rFonts w:eastAsia="Arial"/>
          <w:spacing w:val="-2"/>
          <w:szCs w:val="24"/>
        </w:rPr>
        <w:t>e</w:t>
      </w:r>
      <w:r w:rsidRPr="00217CA0">
        <w:rPr>
          <w:rFonts w:eastAsia="Arial"/>
          <w:szCs w:val="24"/>
        </w:rPr>
        <w:t>auty</w:t>
      </w:r>
      <w:r w:rsidRPr="00217CA0">
        <w:rPr>
          <w:rFonts w:eastAsia="Arial"/>
          <w:spacing w:val="20"/>
          <w:szCs w:val="24"/>
        </w:rPr>
        <w:t xml:space="preserve"> </w:t>
      </w:r>
      <w:r w:rsidRPr="00217CA0">
        <w:rPr>
          <w:rFonts w:eastAsia="Arial"/>
          <w:spacing w:val="-2"/>
          <w:szCs w:val="24"/>
        </w:rPr>
        <w:t>o</w:t>
      </w:r>
      <w:r w:rsidRPr="00217CA0">
        <w:rPr>
          <w:rFonts w:eastAsia="Arial"/>
          <w:szCs w:val="24"/>
        </w:rPr>
        <w:t>f</w:t>
      </w:r>
      <w:r w:rsidRPr="00217CA0">
        <w:rPr>
          <w:rFonts w:eastAsia="Arial"/>
          <w:spacing w:val="24"/>
          <w:szCs w:val="24"/>
        </w:rPr>
        <w:t xml:space="preserve"> </w:t>
      </w:r>
      <w:r w:rsidRPr="00217CA0">
        <w:rPr>
          <w:rFonts w:eastAsia="Arial"/>
          <w:szCs w:val="24"/>
        </w:rPr>
        <w:t>t</w:t>
      </w:r>
      <w:r w:rsidRPr="00217CA0">
        <w:rPr>
          <w:rFonts w:eastAsia="Arial"/>
          <w:spacing w:val="-1"/>
          <w:szCs w:val="24"/>
        </w:rPr>
        <w:t>h</w:t>
      </w:r>
      <w:r w:rsidRPr="00217CA0">
        <w:rPr>
          <w:rFonts w:eastAsia="Arial"/>
          <w:szCs w:val="24"/>
        </w:rPr>
        <w:t>e</w:t>
      </w:r>
      <w:r w:rsidRPr="00217CA0">
        <w:rPr>
          <w:rFonts w:eastAsia="Arial"/>
          <w:spacing w:val="23"/>
          <w:szCs w:val="24"/>
        </w:rPr>
        <w:t xml:space="preserve"> </w:t>
      </w:r>
      <w:r w:rsidRPr="00217CA0">
        <w:rPr>
          <w:rFonts w:eastAsia="Arial"/>
          <w:szCs w:val="24"/>
        </w:rPr>
        <w:t>New</w:t>
      </w:r>
      <w:r w:rsidRPr="00217CA0">
        <w:rPr>
          <w:rFonts w:eastAsia="Arial"/>
          <w:spacing w:val="19"/>
          <w:szCs w:val="24"/>
        </w:rPr>
        <w:t xml:space="preserve"> </w:t>
      </w:r>
      <w:r w:rsidRPr="00217CA0">
        <w:rPr>
          <w:rFonts w:eastAsia="Arial"/>
          <w:szCs w:val="24"/>
        </w:rPr>
        <w:t>Fo</w:t>
      </w:r>
      <w:r w:rsidRPr="00217CA0">
        <w:rPr>
          <w:rFonts w:eastAsia="Arial"/>
          <w:spacing w:val="2"/>
          <w:szCs w:val="24"/>
        </w:rPr>
        <w:t>r</w:t>
      </w:r>
      <w:r w:rsidRPr="00217CA0">
        <w:rPr>
          <w:rFonts w:eastAsia="Arial"/>
          <w:szCs w:val="24"/>
        </w:rPr>
        <w:t>est</w:t>
      </w:r>
      <w:r w:rsidRPr="00217CA0">
        <w:rPr>
          <w:rFonts w:eastAsia="Arial"/>
          <w:spacing w:val="-3"/>
          <w:szCs w:val="24"/>
        </w:rPr>
        <w:t>’</w:t>
      </w:r>
      <w:r w:rsidRPr="00217CA0">
        <w:rPr>
          <w:rFonts w:eastAsia="Arial"/>
          <w:szCs w:val="24"/>
        </w:rPr>
        <w:t>s la</w:t>
      </w:r>
      <w:r w:rsidRPr="00217CA0">
        <w:rPr>
          <w:rFonts w:eastAsia="Arial"/>
          <w:spacing w:val="1"/>
          <w:szCs w:val="24"/>
        </w:rPr>
        <w:t>n</w:t>
      </w:r>
      <w:r w:rsidRPr="00217CA0">
        <w:rPr>
          <w:rFonts w:eastAsia="Arial"/>
          <w:szCs w:val="24"/>
        </w:rPr>
        <w:t>dsc</w:t>
      </w:r>
      <w:r w:rsidRPr="00217CA0">
        <w:rPr>
          <w:rFonts w:eastAsia="Arial"/>
          <w:spacing w:val="-2"/>
          <w:szCs w:val="24"/>
        </w:rPr>
        <w:t>a</w:t>
      </w:r>
      <w:r w:rsidRPr="00217CA0">
        <w:rPr>
          <w:rFonts w:eastAsia="Arial"/>
          <w:szCs w:val="24"/>
        </w:rPr>
        <w:t>pe</w:t>
      </w:r>
      <w:r w:rsidRPr="00217CA0">
        <w:rPr>
          <w:rFonts w:eastAsia="Arial"/>
          <w:spacing w:val="33"/>
          <w:szCs w:val="24"/>
        </w:rPr>
        <w:t xml:space="preserve"> </w:t>
      </w:r>
      <w:r w:rsidRPr="00217CA0">
        <w:rPr>
          <w:rFonts w:eastAsia="Arial"/>
          <w:szCs w:val="24"/>
        </w:rPr>
        <w:t>is</w:t>
      </w:r>
      <w:r w:rsidRPr="00217CA0">
        <w:rPr>
          <w:rFonts w:eastAsia="Arial"/>
          <w:spacing w:val="33"/>
          <w:szCs w:val="24"/>
        </w:rPr>
        <w:t xml:space="preserve"> </w:t>
      </w:r>
      <w:r w:rsidRPr="00217CA0">
        <w:rPr>
          <w:rFonts w:eastAsia="Arial"/>
          <w:spacing w:val="-2"/>
          <w:szCs w:val="24"/>
        </w:rPr>
        <w:t>t</w:t>
      </w:r>
      <w:r w:rsidRPr="00217CA0">
        <w:rPr>
          <w:rFonts w:eastAsia="Arial"/>
          <w:szCs w:val="24"/>
        </w:rPr>
        <w:t>he</w:t>
      </w:r>
      <w:r w:rsidRPr="00217CA0">
        <w:rPr>
          <w:rFonts w:eastAsia="Arial"/>
          <w:spacing w:val="34"/>
          <w:szCs w:val="24"/>
        </w:rPr>
        <w:t xml:space="preserve"> </w:t>
      </w:r>
      <w:r w:rsidRPr="00217CA0">
        <w:rPr>
          <w:rFonts w:eastAsia="Arial"/>
          <w:szCs w:val="24"/>
        </w:rPr>
        <w:t>pr</w:t>
      </w:r>
      <w:r w:rsidRPr="00217CA0">
        <w:rPr>
          <w:rFonts w:eastAsia="Arial"/>
          <w:spacing w:val="-4"/>
          <w:szCs w:val="24"/>
        </w:rPr>
        <w:t>i</w:t>
      </w:r>
      <w:r w:rsidRPr="00217CA0">
        <w:rPr>
          <w:rFonts w:eastAsia="Arial"/>
          <w:spacing w:val="-1"/>
          <w:szCs w:val="24"/>
        </w:rPr>
        <w:t>m</w:t>
      </w:r>
      <w:r w:rsidRPr="00217CA0">
        <w:rPr>
          <w:rFonts w:eastAsia="Arial"/>
          <w:szCs w:val="24"/>
        </w:rPr>
        <w:t>ary</w:t>
      </w:r>
      <w:r w:rsidRPr="00217CA0">
        <w:rPr>
          <w:rFonts w:eastAsia="Arial"/>
          <w:spacing w:val="30"/>
          <w:szCs w:val="24"/>
        </w:rPr>
        <w:t xml:space="preserve"> </w:t>
      </w:r>
      <w:r w:rsidRPr="00217CA0">
        <w:rPr>
          <w:rFonts w:eastAsia="Arial"/>
          <w:szCs w:val="24"/>
        </w:rPr>
        <w:t>reason</w:t>
      </w:r>
      <w:r w:rsidRPr="00217CA0">
        <w:rPr>
          <w:rFonts w:eastAsia="Arial"/>
          <w:spacing w:val="32"/>
          <w:szCs w:val="24"/>
        </w:rPr>
        <w:t xml:space="preserve"> </w:t>
      </w:r>
      <w:r w:rsidRPr="00217CA0">
        <w:rPr>
          <w:rFonts w:eastAsia="Arial"/>
          <w:spacing w:val="2"/>
          <w:szCs w:val="24"/>
        </w:rPr>
        <w:t>f</w:t>
      </w:r>
      <w:r w:rsidRPr="00217CA0">
        <w:rPr>
          <w:rFonts w:eastAsia="Arial"/>
          <w:szCs w:val="24"/>
        </w:rPr>
        <w:t>or</w:t>
      </w:r>
      <w:r w:rsidRPr="00217CA0">
        <w:rPr>
          <w:rFonts w:eastAsia="Arial"/>
          <w:spacing w:val="33"/>
          <w:szCs w:val="24"/>
        </w:rPr>
        <w:t xml:space="preserve"> </w:t>
      </w:r>
      <w:r w:rsidRPr="00217CA0">
        <w:rPr>
          <w:rFonts w:eastAsia="Arial"/>
          <w:szCs w:val="24"/>
        </w:rPr>
        <w:t>its</w:t>
      </w:r>
      <w:r w:rsidRPr="00217CA0">
        <w:rPr>
          <w:rFonts w:eastAsia="Arial"/>
          <w:spacing w:val="34"/>
          <w:szCs w:val="24"/>
        </w:rPr>
        <w:t xml:space="preserve"> </w:t>
      </w:r>
      <w:r w:rsidRPr="00217CA0">
        <w:rPr>
          <w:rFonts w:eastAsia="Arial"/>
          <w:spacing w:val="-2"/>
          <w:szCs w:val="24"/>
        </w:rPr>
        <w:t>d</w:t>
      </w:r>
      <w:r w:rsidRPr="00217CA0">
        <w:rPr>
          <w:rFonts w:eastAsia="Arial"/>
          <w:szCs w:val="24"/>
        </w:rPr>
        <w:t>esi</w:t>
      </w:r>
      <w:r w:rsidRPr="00217CA0">
        <w:rPr>
          <w:rFonts w:eastAsia="Arial"/>
          <w:spacing w:val="-2"/>
          <w:szCs w:val="24"/>
        </w:rPr>
        <w:t>g</w:t>
      </w:r>
      <w:r w:rsidRPr="00217CA0">
        <w:rPr>
          <w:rFonts w:eastAsia="Arial"/>
          <w:szCs w:val="24"/>
        </w:rPr>
        <w:t>nation</w:t>
      </w:r>
      <w:r w:rsidRPr="00217CA0">
        <w:rPr>
          <w:rFonts w:eastAsia="Arial"/>
          <w:spacing w:val="33"/>
          <w:szCs w:val="24"/>
        </w:rPr>
        <w:t xml:space="preserve"> </w:t>
      </w:r>
      <w:r w:rsidRPr="00217CA0">
        <w:rPr>
          <w:rFonts w:eastAsia="Arial"/>
          <w:szCs w:val="24"/>
        </w:rPr>
        <w:t>as</w:t>
      </w:r>
      <w:r w:rsidRPr="00217CA0">
        <w:rPr>
          <w:rFonts w:eastAsia="Arial"/>
          <w:spacing w:val="31"/>
          <w:szCs w:val="24"/>
        </w:rPr>
        <w:t xml:space="preserve"> </w:t>
      </w:r>
      <w:r w:rsidRPr="00217CA0">
        <w:rPr>
          <w:rFonts w:eastAsia="Arial"/>
          <w:szCs w:val="24"/>
        </w:rPr>
        <w:t>a</w:t>
      </w:r>
      <w:r w:rsidRPr="00217CA0">
        <w:rPr>
          <w:rFonts w:eastAsia="Arial"/>
          <w:spacing w:val="34"/>
          <w:szCs w:val="24"/>
        </w:rPr>
        <w:t xml:space="preserve"> </w:t>
      </w:r>
      <w:r w:rsidRPr="00217CA0">
        <w:rPr>
          <w:rFonts w:eastAsia="Arial"/>
          <w:szCs w:val="24"/>
        </w:rPr>
        <w:t>Nati</w:t>
      </w:r>
      <w:r w:rsidRPr="00217CA0">
        <w:rPr>
          <w:rFonts w:eastAsia="Arial"/>
          <w:spacing w:val="-2"/>
          <w:szCs w:val="24"/>
        </w:rPr>
        <w:t>o</w:t>
      </w:r>
      <w:r w:rsidRPr="00217CA0">
        <w:rPr>
          <w:rFonts w:eastAsia="Arial"/>
          <w:szCs w:val="24"/>
        </w:rPr>
        <w:t>nal</w:t>
      </w:r>
      <w:r w:rsidRPr="00217CA0">
        <w:rPr>
          <w:rFonts w:eastAsia="Arial"/>
          <w:spacing w:val="30"/>
          <w:szCs w:val="24"/>
        </w:rPr>
        <w:t xml:space="preserve"> </w:t>
      </w:r>
      <w:r w:rsidRPr="00217CA0">
        <w:rPr>
          <w:rFonts w:eastAsia="Arial"/>
          <w:szCs w:val="24"/>
        </w:rPr>
        <w:t>Park and</w:t>
      </w:r>
      <w:r w:rsidRPr="00217CA0">
        <w:rPr>
          <w:rFonts w:eastAsia="Arial"/>
          <w:spacing w:val="-2"/>
          <w:szCs w:val="24"/>
        </w:rPr>
        <w:t xml:space="preserve"> </w:t>
      </w:r>
      <w:r w:rsidRPr="00217CA0">
        <w:rPr>
          <w:rFonts w:eastAsia="Arial"/>
          <w:szCs w:val="24"/>
        </w:rPr>
        <w:t>has</w:t>
      </w:r>
      <w:r w:rsidRPr="00217CA0">
        <w:rPr>
          <w:rFonts w:eastAsia="Arial"/>
          <w:spacing w:val="-2"/>
          <w:szCs w:val="24"/>
        </w:rPr>
        <w:t xml:space="preserve"> </w:t>
      </w:r>
      <w:r w:rsidRPr="00217CA0">
        <w:rPr>
          <w:rFonts w:eastAsia="Arial"/>
          <w:szCs w:val="24"/>
        </w:rPr>
        <w:t>t</w:t>
      </w:r>
      <w:r w:rsidRPr="00217CA0">
        <w:rPr>
          <w:rFonts w:eastAsia="Arial"/>
          <w:spacing w:val="1"/>
          <w:szCs w:val="24"/>
        </w:rPr>
        <w:t>h</w:t>
      </w:r>
      <w:r w:rsidRPr="00217CA0">
        <w:rPr>
          <w:rFonts w:eastAsia="Arial"/>
          <w:szCs w:val="24"/>
        </w:rPr>
        <w:t>e</w:t>
      </w:r>
      <w:r w:rsidRPr="00217CA0">
        <w:rPr>
          <w:rFonts w:eastAsia="Arial"/>
          <w:spacing w:val="-2"/>
          <w:szCs w:val="24"/>
        </w:rPr>
        <w:t xml:space="preserve"> </w:t>
      </w:r>
      <w:r w:rsidRPr="00217CA0">
        <w:rPr>
          <w:rFonts w:eastAsia="Arial"/>
          <w:spacing w:val="1"/>
          <w:szCs w:val="24"/>
        </w:rPr>
        <w:t>h</w:t>
      </w:r>
      <w:r w:rsidRPr="00217CA0">
        <w:rPr>
          <w:rFonts w:eastAsia="Arial"/>
          <w:szCs w:val="24"/>
        </w:rPr>
        <w:t>i</w:t>
      </w:r>
      <w:r w:rsidRPr="00217CA0">
        <w:rPr>
          <w:rFonts w:eastAsia="Arial"/>
          <w:spacing w:val="-2"/>
          <w:szCs w:val="24"/>
        </w:rPr>
        <w:t>g</w:t>
      </w:r>
      <w:r w:rsidRPr="00217CA0">
        <w:rPr>
          <w:rFonts w:eastAsia="Arial"/>
          <w:szCs w:val="24"/>
        </w:rPr>
        <w:t>hest s</w:t>
      </w:r>
      <w:r w:rsidRPr="00217CA0">
        <w:rPr>
          <w:rFonts w:eastAsia="Arial"/>
          <w:spacing w:val="-2"/>
          <w:szCs w:val="24"/>
        </w:rPr>
        <w:t>t</w:t>
      </w:r>
      <w:r w:rsidRPr="00217CA0">
        <w:rPr>
          <w:rFonts w:eastAsia="Arial"/>
          <w:szCs w:val="24"/>
        </w:rPr>
        <w:t>at</w:t>
      </w:r>
      <w:r w:rsidRPr="00217CA0">
        <w:rPr>
          <w:rFonts w:eastAsia="Arial"/>
          <w:spacing w:val="1"/>
          <w:szCs w:val="24"/>
        </w:rPr>
        <w:t>u</w:t>
      </w:r>
      <w:r w:rsidRPr="00217CA0">
        <w:rPr>
          <w:rFonts w:eastAsia="Arial"/>
          <w:szCs w:val="24"/>
        </w:rPr>
        <w:t>s</w:t>
      </w:r>
      <w:r w:rsidRPr="00217CA0">
        <w:rPr>
          <w:rFonts w:eastAsia="Arial"/>
          <w:spacing w:val="-2"/>
          <w:szCs w:val="24"/>
        </w:rPr>
        <w:t xml:space="preserve"> o</w:t>
      </w:r>
      <w:r w:rsidRPr="00217CA0">
        <w:rPr>
          <w:rFonts w:eastAsia="Arial"/>
          <w:szCs w:val="24"/>
        </w:rPr>
        <w:t>f</w:t>
      </w:r>
      <w:r w:rsidRPr="00217CA0">
        <w:rPr>
          <w:rFonts w:eastAsia="Arial"/>
          <w:spacing w:val="2"/>
          <w:szCs w:val="24"/>
        </w:rPr>
        <w:t xml:space="preserve"> </w:t>
      </w:r>
      <w:r w:rsidRPr="00217CA0">
        <w:rPr>
          <w:rFonts w:eastAsia="Arial"/>
          <w:spacing w:val="1"/>
          <w:szCs w:val="24"/>
        </w:rPr>
        <w:t>p</w:t>
      </w:r>
      <w:r w:rsidRPr="00217CA0">
        <w:rPr>
          <w:rFonts w:eastAsia="Arial"/>
          <w:szCs w:val="24"/>
        </w:rPr>
        <w:t>r</w:t>
      </w:r>
      <w:r w:rsidRPr="00217CA0">
        <w:rPr>
          <w:rFonts w:eastAsia="Arial"/>
          <w:spacing w:val="-3"/>
          <w:szCs w:val="24"/>
        </w:rPr>
        <w:t>o</w:t>
      </w:r>
      <w:r w:rsidRPr="00217CA0">
        <w:rPr>
          <w:rFonts w:eastAsia="Arial"/>
          <w:szCs w:val="24"/>
        </w:rPr>
        <w:t>t</w:t>
      </w:r>
      <w:r w:rsidRPr="00217CA0">
        <w:rPr>
          <w:rFonts w:eastAsia="Arial"/>
          <w:spacing w:val="1"/>
          <w:szCs w:val="24"/>
        </w:rPr>
        <w:t>e</w:t>
      </w:r>
      <w:r w:rsidRPr="00217CA0">
        <w:rPr>
          <w:rFonts w:eastAsia="Arial"/>
          <w:szCs w:val="24"/>
        </w:rPr>
        <w:t>cti</w:t>
      </w:r>
      <w:r w:rsidRPr="00217CA0">
        <w:rPr>
          <w:rFonts w:eastAsia="Arial"/>
          <w:spacing w:val="-2"/>
          <w:szCs w:val="24"/>
        </w:rPr>
        <w:t>o</w:t>
      </w:r>
      <w:r w:rsidRPr="00217CA0">
        <w:rPr>
          <w:rFonts w:eastAsia="Arial"/>
          <w:szCs w:val="24"/>
        </w:rPr>
        <w:t xml:space="preserve">n </w:t>
      </w:r>
      <w:r w:rsidRPr="00217CA0">
        <w:rPr>
          <w:rFonts w:eastAsia="Arial"/>
          <w:spacing w:val="4"/>
          <w:szCs w:val="24"/>
        </w:rPr>
        <w:t>i</w:t>
      </w:r>
      <w:r w:rsidRPr="00217CA0">
        <w:rPr>
          <w:rFonts w:eastAsia="Arial"/>
          <w:szCs w:val="24"/>
        </w:rPr>
        <w:t>n</w:t>
      </w:r>
      <w:r w:rsidRPr="00217CA0">
        <w:rPr>
          <w:rFonts w:eastAsia="Arial"/>
          <w:spacing w:val="-2"/>
          <w:szCs w:val="24"/>
        </w:rPr>
        <w:t xml:space="preserve"> </w:t>
      </w:r>
      <w:r w:rsidRPr="00217CA0">
        <w:rPr>
          <w:rFonts w:eastAsia="Arial"/>
          <w:szCs w:val="24"/>
        </w:rPr>
        <w:t>t</w:t>
      </w:r>
      <w:r w:rsidRPr="00217CA0">
        <w:rPr>
          <w:rFonts w:eastAsia="Arial"/>
          <w:spacing w:val="-1"/>
          <w:szCs w:val="24"/>
        </w:rPr>
        <w:t>h</w:t>
      </w:r>
      <w:r w:rsidRPr="00217CA0">
        <w:rPr>
          <w:rFonts w:eastAsia="Arial"/>
          <w:szCs w:val="24"/>
        </w:rPr>
        <w:t xml:space="preserve">e National Planning </w:t>
      </w:r>
      <w:r w:rsidRPr="00217CA0">
        <w:rPr>
          <w:rFonts w:eastAsia="Arial"/>
          <w:spacing w:val="1"/>
          <w:szCs w:val="24"/>
        </w:rPr>
        <w:t xml:space="preserve">Policy </w:t>
      </w:r>
      <w:r w:rsidRPr="00217CA0">
        <w:rPr>
          <w:rFonts w:eastAsia="Arial"/>
          <w:szCs w:val="24"/>
        </w:rPr>
        <w:t>Framework (NPPF).</w:t>
      </w:r>
    </w:p>
    <w:p w14:paraId="2B1F9582" w14:textId="77777777" w:rsidR="00011D29" w:rsidRPr="00217CA0" w:rsidRDefault="00011D29" w:rsidP="00011D29">
      <w:pPr>
        <w:ind w:left="1276" w:hanging="567"/>
        <w:rPr>
          <w:szCs w:val="72"/>
        </w:rPr>
      </w:pPr>
    </w:p>
    <w:p w14:paraId="75B757DE" w14:textId="1C9BF1FE" w:rsidR="00011D29" w:rsidRPr="00217CA0" w:rsidRDefault="00011D29" w:rsidP="00011D29">
      <w:pPr>
        <w:widowControl w:val="0"/>
        <w:numPr>
          <w:ilvl w:val="2"/>
          <w:numId w:val="17"/>
        </w:numPr>
        <w:ind w:left="1276" w:right="121" w:hanging="567"/>
        <w:rPr>
          <w:rFonts w:eastAsia="Arial"/>
          <w:szCs w:val="24"/>
        </w:rPr>
      </w:pPr>
      <w:r w:rsidRPr="00217CA0">
        <w:rPr>
          <w:rFonts w:eastAsia="Arial"/>
          <w:i/>
          <w:szCs w:val="24"/>
        </w:rPr>
        <w:t>Ensur</w:t>
      </w:r>
      <w:r w:rsidRPr="00217CA0">
        <w:rPr>
          <w:rFonts w:eastAsia="Arial"/>
          <w:i/>
          <w:spacing w:val="-2"/>
          <w:szCs w:val="24"/>
        </w:rPr>
        <w:t>i</w:t>
      </w:r>
      <w:r w:rsidRPr="00217CA0">
        <w:rPr>
          <w:rFonts w:eastAsia="Arial"/>
          <w:i/>
          <w:szCs w:val="24"/>
        </w:rPr>
        <w:t>ng</w:t>
      </w:r>
      <w:r w:rsidRPr="00217CA0">
        <w:rPr>
          <w:rFonts w:eastAsia="Arial"/>
          <w:i/>
          <w:spacing w:val="63"/>
          <w:szCs w:val="24"/>
        </w:rPr>
        <w:t xml:space="preserve"> </w:t>
      </w:r>
      <w:r w:rsidRPr="00217CA0">
        <w:rPr>
          <w:rFonts w:eastAsia="Arial"/>
          <w:i/>
          <w:szCs w:val="24"/>
        </w:rPr>
        <w:t>t</w:t>
      </w:r>
      <w:r w:rsidRPr="00217CA0">
        <w:rPr>
          <w:rFonts w:eastAsia="Arial"/>
          <w:i/>
          <w:spacing w:val="-1"/>
          <w:szCs w:val="24"/>
        </w:rPr>
        <w:t>h</w:t>
      </w:r>
      <w:r w:rsidRPr="00217CA0">
        <w:rPr>
          <w:rFonts w:eastAsia="Arial"/>
          <w:i/>
          <w:szCs w:val="24"/>
        </w:rPr>
        <w:t>e</w:t>
      </w:r>
      <w:r w:rsidRPr="00217CA0">
        <w:rPr>
          <w:rFonts w:eastAsia="Arial"/>
          <w:i/>
          <w:spacing w:val="66"/>
          <w:szCs w:val="24"/>
        </w:rPr>
        <w:t xml:space="preserve"> </w:t>
      </w:r>
      <w:r w:rsidRPr="00217CA0">
        <w:rPr>
          <w:rFonts w:eastAsia="Arial"/>
          <w:i/>
          <w:szCs w:val="24"/>
        </w:rPr>
        <w:t>i</w:t>
      </w:r>
      <w:r w:rsidRPr="00217CA0">
        <w:rPr>
          <w:rFonts w:eastAsia="Arial"/>
          <w:i/>
          <w:spacing w:val="-4"/>
          <w:szCs w:val="24"/>
        </w:rPr>
        <w:t>m</w:t>
      </w:r>
      <w:r w:rsidRPr="00217CA0">
        <w:rPr>
          <w:rFonts w:eastAsia="Arial"/>
          <w:i/>
          <w:szCs w:val="24"/>
        </w:rPr>
        <w:t>pacts</w:t>
      </w:r>
      <w:r w:rsidRPr="00217CA0">
        <w:rPr>
          <w:rFonts w:eastAsia="Arial"/>
          <w:i/>
          <w:spacing w:val="66"/>
          <w:szCs w:val="24"/>
        </w:rPr>
        <w:t xml:space="preserve"> </w:t>
      </w:r>
      <w:r w:rsidRPr="00217CA0">
        <w:rPr>
          <w:rFonts w:eastAsia="Arial"/>
          <w:i/>
          <w:szCs w:val="24"/>
        </w:rPr>
        <w:t>of</w:t>
      </w:r>
      <w:r w:rsidRPr="00217CA0">
        <w:rPr>
          <w:rFonts w:eastAsia="Arial"/>
          <w:i/>
          <w:spacing w:val="62"/>
          <w:szCs w:val="24"/>
        </w:rPr>
        <w:t xml:space="preserve"> </w:t>
      </w:r>
      <w:r w:rsidRPr="00217CA0">
        <w:rPr>
          <w:rFonts w:eastAsia="Arial"/>
          <w:i/>
          <w:szCs w:val="24"/>
        </w:rPr>
        <w:t>n</w:t>
      </w:r>
      <w:r w:rsidRPr="00217CA0">
        <w:rPr>
          <w:rFonts w:eastAsia="Arial"/>
          <w:i/>
          <w:spacing w:val="-2"/>
          <w:szCs w:val="24"/>
        </w:rPr>
        <w:t>e</w:t>
      </w:r>
      <w:r w:rsidRPr="00217CA0">
        <w:rPr>
          <w:rFonts w:eastAsia="Arial"/>
          <w:i/>
          <w:szCs w:val="24"/>
        </w:rPr>
        <w:t xml:space="preserve">w </w:t>
      </w:r>
      <w:r w:rsidRPr="00217CA0">
        <w:rPr>
          <w:rFonts w:eastAsia="Arial"/>
          <w:i/>
          <w:spacing w:val="-2"/>
          <w:szCs w:val="24"/>
        </w:rPr>
        <w:t>d</w:t>
      </w:r>
      <w:r w:rsidRPr="00217CA0">
        <w:rPr>
          <w:rFonts w:eastAsia="Arial"/>
          <w:i/>
          <w:szCs w:val="24"/>
        </w:rPr>
        <w:t>evel</w:t>
      </w:r>
      <w:r w:rsidRPr="00217CA0">
        <w:rPr>
          <w:rFonts w:eastAsia="Arial"/>
          <w:i/>
          <w:spacing w:val="-2"/>
          <w:szCs w:val="24"/>
        </w:rPr>
        <w:t>o</w:t>
      </w:r>
      <w:r w:rsidRPr="00217CA0">
        <w:rPr>
          <w:rFonts w:eastAsia="Arial"/>
          <w:i/>
          <w:szCs w:val="24"/>
        </w:rPr>
        <w:t>p</w:t>
      </w:r>
      <w:r w:rsidRPr="00217CA0">
        <w:rPr>
          <w:rFonts w:eastAsia="Arial"/>
          <w:i/>
          <w:spacing w:val="-1"/>
          <w:szCs w:val="24"/>
        </w:rPr>
        <w:t>m</w:t>
      </w:r>
      <w:r w:rsidRPr="00217CA0">
        <w:rPr>
          <w:rFonts w:eastAsia="Arial"/>
          <w:i/>
          <w:szCs w:val="24"/>
        </w:rPr>
        <w:t>ent</w:t>
      </w:r>
      <w:r w:rsidRPr="00217CA0">
        <w:rPr>
          <w:rFonts w:eastAsia="Arial"/>
          <w:i/>
          <w:spacing w:val="63"/>
          <w:szCs w:val="24"/>
        </w:rPr>
        <w:t xml:space="preserve"> </w:t>
      </w:r>
      <w:r w:rsidRPr="00217CA0">
        <w:rPr>
          <w:rFonts w:eastAsia="Arial"/>
          <w:i/>
          <w:szCs w:val="24"/>
        </w:rPr>
        <w:t>on</w:t>
      </w:r>
      <w:r w:rsidRPr="00217CA0">
        <w:rPr>
          <w:rFonts w:eastAsia="Arial"/>
          <w:i/>
          <w:spacing w:val="64"/>
          <w:szCs w:val="24"/>
        </w:rPr>
        <w:t xml:space="preserve"> </w:t>
      </w:r>
      <w:r w:rsidRPr="00217CA0">
        <w:rPr>
          <w:rFonts w:eastAsia="Arial"/>
          <w:i/>
          <w:szCs w:val="24"/>
        </w:rPr>
        <w:t>t</w:t>
      </w:r>
      <w:r w:rsidRPr="00217CA0">
        <w:rPr>
          <w:rFonts w:eastAsia="Arial"/>
          <w:i/>
          <w:spacing w:val="1"/>
          <w:szCs w:val="24"/>
        </w:rPr>
        <w:t>h</w:t>
      </w:r>
      <w:r w:rsidRPr="00217CA0">
        <w:rPr>
          <w:rFonts w:eastAsia="Arial"/>
          <w:i/>
          <w:szCs w:val="24"/>
        </w:rPr>
        <w:t>e</w:t>
      </w:r>
      <w:r w:rsidRPr="00217CA0">
        <w:rPr>
          <w:rFonts w:eastAsia="Arial"/>
          <w:i/>
          <w:spacing w:val="64"/>
          <w:szCs w:val="24"/>
        </w:rPr>
        <w:t xml:space="preserve"> </w:t>
      </w:r>
      <w:r w:rsidRPr="00217CA0">
        <w:rPr>
          <w:rFonts w:eastAsia="Arial"/>
          <w:i/>
          <w:szCs w:val="24"/>
        </w:rPr>
        <w:t>n</w:t>
      </w:r>
      <w:r w:rsidRPr="00217CA0">
        <w:rPr>
          <w:rFonts w:eastAsia="Arial"/>
          <w:i/>
          <w:spacing w:val="-2"/>
          <w:szCs w:val="24"/>
        </w:rPr>
        <w:t>a</w:t>
      </w:r>
      <w:r w:rsidRPr="00217CA0">
        <w:rPr>
          <w:rFonts w:eastAsia="Arial"/>
          <w:i/>
          <w:szCs w:val="24"/>
        </w:rPr>
        <w:t>tio</w:t>
      </w:r>
      <w:r w:rsidRPr="00217CA0">
        <w:rPr>
          <w:rFonts w:eastAsia="Arial"/>
          <w:i/>
          <w:spacing w:val="-2"/>
          <w:szCs w:val="24"/>
        </w:rPr>
        <w:t>n</w:t>
      </w:r>
      <w:r w:rsidRPr="00217CA0">
        <w:rPr>
          <w:rFonts w:eastAsia="Arial"/>
          <w:i/>
          <w:szCs w:val="24"/>
        </w:rPr>
        <w:t>al</w:t>
      </w:r>
      <w:r w:rsidR="00EB43F3">
        <w:rPr>
          <w:rFonts w:eastAsia="Arial"/>
          <w:i/>
          <w:szCs w:val="24"/>
        </w:rPr>
        <w:t>ly</w:t>
      </w:r>
      <w:r w:rsidRPr="00217CA0">
        <w:rPr>
          <w:rFonts w:eastAsia="Arial"/>
          <w:i/>
          <w:spacing w:val="64"/>
          <w:szCs w:val="24"/>
        </w:rPr>
        <w:t xml:space="preserve"> </w:t>
      </w:r>
      <w:r w:rsidRPr="00217CA0">
        <w:rPr>
          <w:rFonts w:eastAsia="Arial"/>
          <w:i/>
          <w:spacing w:val="-2"/>
          <w:szCs w:val="24"/>
        </w:rPr>
        <w:t>an</w:t>
      </w:r>
      <w:r w:rsidRPr="00217CA0">
        <w:rPr>
          <w:rFonts w:eastAsia="Arial"/>
          <w:i/>
          <w:szCs w:val="24"/>
        </w:rPr>
        <w:t>d internat</w:t>
      </w:r>
      <w:r w:rsidRPr="00217CA0">
        <w:rPr>
          <w:rFonts w:eastAsia="Arial"/>
          <w:i/>
          <w:spacing w:val="-3"/>
          <w:szCs w:val="24"/>
        </w:rPr>
        <w:t>i</w:t>
      </w:r>
      <w:r w:rsidRPr="00217CA0">
        <w:rPr>
          <w:rFonts w:eastAsia="Arial"/>
          <w:i/>
          <w:szCs w:val="24"/>
        </w:rPr>
        <w:t>onal</w:t>
      </w:r>
      <w:r w:rsidRPr="00217CA0">
        <w:rPr>
          <w:rFonts w:eastAsia="Arial"/>
          <w:i/>
          <w:spacing w:val="-1"/>
          <w:szCs w:val="24"/>
        </w:rPr>
        <w:t>l</w:t>
      </w:r>
      <w:r w:rsidRPr="00217CA0">
        <w:rPr>
          <w:rFonts w:eastAsia="Arial"/>
          <w:i/>
          <w:szCs w:val="24"/>
        </w:rPr>
        <w:t>y</w:t>
      </w:r>
      <w:r w:rsidRPr="00217CA0">
        <w:rPr>
          <w:rFonts w:eastAsia="Arial"/>
          <w:i/>
          <w:spacing w:val="21"/>
          <w:szCs w:val="24"/>
        </w:rPr>
        <w:t xml:space="preserve"> </w:t>
      </w:r>
      <w:r w:rsidRPr="00217CA0">
        <w:rPr>
          <w:rFonts w:eastAsia="Arial"/>
          <w:i/>
          <w:szCs w:val="24"/>
        </w:rPr>
        <w:t>prot</w:t>
      </w:r>
      <w:r w:rsidRPr="00217CA0">
        <w:rPr>
          <w:rFonts w:eastAsia="Arial"/>
          <w:i/>
          <w:spacing w:val="1"/>
          <w:szCs w:val="24"/>
        </w:rPr>
        <w:t>e</w:t>
      </w:r>
      <w:r w:rsidRPr="00217CA0">
        <w:rPr>
          <w:rFonts w:eastAsia="Arial"/>
          <w:i/>
          <w:szCs w:val="24"/>
        </w:rPr>
        <w:t>c</w:t>
      </w:r>
      <w:r w:rsidRPr="00217CA0">
        <w:rPr>
          <w:rFonts w:eastAsia="Arial"/>
          <w:i/>
          <w:spacing w:val="-2"/>
          <w:szCs w:val="24"/>
        </w:rPr>
        <w:t>te</w:t>
      </w:r>
      <w:r w:rsidRPr="00217CA0">
        <w:rPr>
          <w:rFonts w:eastAsia="Arial"/>
          <w:i/>
          <w:szCs w:val="24"/>
        </w:rPr>
        <w:t>d</w:t>
      </w:r>
      <w:r w:rsidRPr="00217CA0">
        <w:rPr>
          <w:rFonts w:eastAsia="Arial"/>
          <w:i/>
          <w:spacing w:val="24"/>
          <w:szCs w:val="24"/>
        </w:rPr>
        <w:t xml:space="preserve"> </w:t>
      </w:r>
      <w:r w:rsidRPr="00217CA0">
        <w:rPr>
          <w:rFonts w:eastAsia="Arial"/>
          <w:i/>
          <w:szCs w:val="24"/>
        </w:rPr>
        <w:t>h</w:t>
      </w:r>
      <w:r w:rsidRPr="00217CA0">
        <w:rPr>
          <w:rFonts w:eastAsia="Arial"/>
          <w:i/>
          <w:spacing w:val="-2"/>
          <w:szCs w:val="24"/>
        </w:rPr>
        <w:t>a</w:t>
      </w:r>
      <w:r w:rsidRPr="00217CA0">
        <w:rPr>
          <w:rFonts w:eastAsia="Arial"/>
          <w:i/>
          <w:szCs w:val="24"/>
        </w:rPr>
        <w:t>bitats</w:t>
      </w:r>
      <w:r w:rsidRPr="00217CA0">
        <w:rPr>
          <w:rFonts w:eastAsia="Arial"/>
          <w:i/>
          <w:spacing w:val="22"/>
          <w:szCs w:val="24"/>
        </w:rPr>
        <w:t xml:space="preserve"> </w:t>
      </w:r>
      <w:r w:rsidRPr="00217CA0">
        <w:rPr>
          <w:rFonts w:eastAsia="Arial"/>
          <w:i/>
          <w:szCs w:val="24"/>
        </w:rPr>
        <w:t>of</w:t>
      </w:r>
      <w:r w:rsidRPr="00217CA0">
        <w:rPr>
          <w:rFonts w:eastAsia="Arial"/>
          <w:i/>
          <w:spacing w:val="22"/>
          <w:szCs w:val="24"/>
        </w:rPr>
        <w:t xml:space="preserve"> </w:t>
      </w:r>
      <w:r w:rsidRPr="00217CA0">
        <w:rPr>
          <w:rFonts w:eastAsia="Arial"/>
          <w:i/>
          <w:szCs w:val="24"/>
        </w:rPr>
        <w:t>t</w:t>
      </w:r>
      <w:r w:rsidRPr="00217CA0">
        <w:rPr>
          <w:rFonts w:eastAsia="Arial"/>
          <w:i/>
          <w:spacing w:val="1"/>
          <w:szCs w:val="24"/>
        </w:rPr>
        <w:t>h</w:t>
      </w:r>
      <w:r w:rsidRPr="00217CA0">
        <w:rPr>
          <w:rFonts w:eastAsia="Arial"/>
          <w:i/>
          <w:szCs w:val="24"/>
        </w:rPr>
        <w:t>e</w:t>
      </w:r>
      <w:r w:rsidRPr="00217CA0">
        <w:rPr>
          <w:rFonts w:eastAsia="Arial"/>
          <w:i/>
          <w:spacing w:val="22"/>
          <w:szCs w:val="24"/>
        </w:rPr>
        <w:t xml:space="preserve"> </w:t>
      </w:r>
      <w:r w:rsidRPr="00217CA0">
        <w:rPr>
          <w:rFonts w:eastAsia="Arial"/>
          <w:i/>
          <w:szCs w:val="24"/>
        </w:rPr>
        <w:t>N</w:t>
      </w:r>
      <w:r w:rsidRPr="00217CA0">
        <w:rPr>
          <w:rFonts w:eastAsia="Arial"/>
          <w:i/>
          <w:spacing w:val="-2"/>
          <w:szCs w:val="24"/>
        </w:rPr>
        <w:t>e</w:t>
      </w:r>
      <w:r w:rsidRPr="00217CA0">
        <w:rPr>
          <w:rFonts w:eastAsia="Arial"/>
          <w:i/>
          <w:szCs w:val="24"/>
        </w:rPr>
        <w:t>w</w:t>
      </w:r>
      <w:r w:rsidRPr="00217CA0">
        <w:rPr>
          <w:rFonts w:eastAsia="Arial"/>
          <w:i/>
          <w:spacing w:val="23"/>
          <w:szCs w:val="24"/>
        </w:rPr>
        <w:t xml:space="preserve"> </w:t>
      </w:r>
      <w:r w:rsidRPr="00217CA0">
        <w:rPr>
          <w:rFonts w:eastAsia="Arial"/>
          <w:i/>
          <w:szCs w:val="24"/>
        </w:rPr>
        <w:t>Forest</w:t>
      </w:r>
      <w:r w:rsidRPr="00217CA0">
        <w:rPr>
          <w:rFonts w:eastAsia="Arial"/>
          <w:i/>
          <w:spacing w:val="24"/>
          <w:szCs w:val="24"/>
        </w:rPr>
        <w:t xml:space="preserve"> </w:t>
      </w:r>
      <w:r w:rsidRPr="00217CA0">
        <w:rPr>
          <w:rFonts w:eastAsia="Arial"/>
          <w:i/>
          <w:szCs w:val="24"/>
        </w:rPr>
        <w:t>are</w:t>
      </w:r>
      <w:r w:rsidRPr="00217CA0">
        <w:rPr>
          <w:rFonts w:eastAsia="Arial"/>
          <w:i/>
          <w:spacing w:val="22"/>
          <w:szCs w:val="24"/>
        </w:rPr>
        <w:t xml:space="preserve"> </w:t>
      </w:r>
      <w:r w:rsidRPr="00217CA0">
        <w:rPr>
          <w:rFonts w:eastAsia="Arial"/>
          <w:i/>
          <w:szCs w:val="24"/>
        </w:rPr>
        <w:t>avoi</w:t>
      </w:r>
      <w:r w:rsidRPr="00217CA0">
        <w:rPr>
          <w:rFonts w:eastAsia="Arial"/>
          <w:i/>
          <w:spacing w:val="-2"/>
          <w:szCs w:val="24"/>
        </w:rPr>
        <w:t>d</w:t>
      </w:r>
      <w:r w:rsidRPr="00217CA0">
        <w:rPr>
          <w:rFonts w:eastAsia="Arial"/>
          <w:i/>
          <w:szCs w:val="24"/>
        </w:rPr>
        <w:t>ed</w:t>
      </w:r>
      <w:r w:rsidRPr="00217CA0">
        <w:rPr>
          <w:rFonts w:eastAsia="Arial"/>
          <w:i/>
          <w:spacing w:val="22"/>
          <w:szCs w:val="24"/>
        </w:rPr>
        <w:t xml:space="preserve"> </w:t>
      </w:r>
      <w:r w:rsidRPr="00217CA0">
        <w:rPr>
          <w:rFonts w:eastAsia="Arial"/>
          <w:i/>
          <w:szCs w:val="24"/>
        </w:rPr>
        <w:t>or</w:t>
      </w:r>
      <w:r w:rsidRPr="00217CA0">
        <w:rPr>
          <w:rFonts w:eastAsia="Arial"/>
          <w:i/>
          <w:spacing w:val="21"/>
          <w:szCs w:val="24"/>
        </w:rPr>
        <w:t xml:space="preserve"> </w:t>
      </w:r>
      <w:r w:rsidRPr="00217CA0">
        <w:rPr>
          <w:rFonts w:eastAsia="Arial"/>
          <w:i/>
          <w:szCs w:val="24"/>
        </w:rPr>
        <w:t>f</w:t>
      </w:r>
      <w:r w:rsidRPr="00217CA0">
        <w:rPr>
          <w:rFonts w:eastAsia="Arial"/>
          <w:i/>
          <w:spacing w:val="1"/>
          <w:szCs w:val="24"/>
        </w:rPr>
        <w:t>u</w:t>
      </w:r>
      <w:r w:rsidRPr="00217CA0">
        <w:rPr>
          <w:rFonts w:eastAsia="Arial"/>
          <w:i/>
          <w:szCs w:val="24"/>
        </w:rPr>
        <w:t>l</w:t>
      </w:r>
      <w:r w:rsidRPr="00217CA0">
        <w:rPr>
          <w:rFonts w:eastAsia="Arial"/>
          <w:i/>
          <w:spacing w:val="-1"/>
          <w:szCs w:val="24"/>
        </w:rPr>
        <w:t>l</w:t>
      </w:r>
      <w:r w:rsidRPr="00217CA0">
        <w:rPr>
          <w:rFonts w:eastAsia="Arial"/>
          <w:i/>
          <w:szCs w:val="24"/>
        </w:rPr>
        <w:t xml:space="preserve">y </w:t>
      </w:r>
      <w:r w:rsidRPr="00217CA0">
        <w:rPr>
          <w:rFonts w:eastAsia="Arial"/>
          <w:i/>
          <w:spacing w:val="-1"/>
          <w:szCs w:val="24"/>
        </w:rPr>
        <w:t>m</w:t>
      </w:r>
      <w:r w:rsidRPr="00217CA0">
        <w:rPr>
          <w:rFonts w:eastAsia="Arial"/>
          <w:i/>
          <w:szCs w:val="24"/>
        </w:rPr>
        <w:t>itig</w:t>
      </w:r>
      <w:r w:rsidRPr="00217CA0">
        <w:rPr>
          <w:rFonts w:eastAsia="Arial"/>
          <w:i/>
          <w:spacing w:val="1"/>
          <w:szCs w:val="24"/>
        </w:rPr>
        <w:t>a</w:t>
      </w:r>
      <w:r w:rsidRPr="00217CA0">
        <w:rPr>
          <w:rFonts w:eastAsia="Arial"/>
          <w:i/>
          <w:szCs w:val="24"/>
        </w:rPr>
        <w:t>t</w:t>
      </w:r>
      <w:r w:rsidRPr="00217CA0">
        <w:rPr>
          <w:rFonts w:eastAsia="Arial"/>
          <w:i/>
          <w:spacing w:val="1"/>
          <w:szCs w:val="24"/>
        </w:rPr>
        <w:t>e</w:t>
      </w:r>
      <w:r w:rsidRPr="00217CA0">
        <w:rPr>
          <w:rFonts w:eastAsia="Arial"/>
          <w:i/>
          <w:szCs w:val="24"/>
        </w:rPr>
        <w:t>d</w:t>
      </w:r>
      <w:r w:rsidRPr="00217CA0">
        <w:rPr>
          <w:rFonts w:eastAsia="Arial"/>
          <w:i/>
          <w:spacing w:val="56"/>
          <w:szCs w:val="24"/>
        </w:rPr>
        <w:t xml:space="preserve"> </w:t>
      </w:r>
      <w:r w:rsidRPr="00217CA0">
        <w:rPr>
          <w:rFonts w:eastAsia="Arial"/>
          <w:szCs w:val="24"/>
        </w:rPr>
        <w:t>–</w:t>
      </w:r>
      <w:r w:rsidRPr="00217CA0">
        <w:rPr>
          <w:rFonts w:eastAsia="Arial"/>
          <w:spacing w:val="59"/>
          <w:szCs w:val="24"/>
        </w:rPr>
        <w:t xml:space="preserve"> </w:t>
      </w:r>
      <w:r w:rsidRPr="00217CA0">
        <w:rPr>
          <w:rFonts w:eastAsia="Arial"/>
          <w:szCs w:val="24"/>
        </w:rPr>
        <w:t>o</w:t>
      </w:r>
      <w:r w:rsidRPr="00217CA0">
        <w:rPr>
          <w:rFonts w:eastAsia="Arial"/>
          <w:spacing w:val="-3"/>
          <w:szCs w:val="24"/>
        </w:rPr>
        <w:t>v</w:t>
      </w:r>
      <w:r w:rsidRPr="00217CA0">
        <w:rPr>
          <w:rFonts w:eastAsia="Arial"/>
          <w:szCs w:val="24"/>
        </w:rPr>
        <w:t>er</w:t>
      </w:r>
      <w:r w:rsidRPr="00217CA0">
        <w:rPr>
          <w:rFonts w:eastAsia="Arial"/>
          <w:spacing w:val="57"/>
          <w:szCs w:val="24"/>
        </w:rPr>
        <w:t xml:space="preserve"> </w:t>
      </w:r>
      <w:r w:rsidRPr="00217CA0">
        <w:rPr>
          <w:rFonts w:eastAsia="Arial"/>
          <w:szCs w:val="24"/>
        </w:rPr>
        <w:t>ha</w:t>
      </w:r>
      <w:r w:rsidRPr="00217CA0">
        <w:rPr>
          <w:rFonts w:eastAsia="Arial"/>
          <w:spacing w:val="-3"/>
          <w:szCs w:val="24"/>
        </w:rPr>
        <w:t>l</w:t>
      </w:r>
      <w:r w:rsidRPr="00217CA0">
        <w:rPr>
          <w:rFonts w:eastAsia="Arial"/>
          <w:szCs w:val="24"/>
        </w:rPr>
        <w:t>f</w:t>
      </w:r>
      <w:r w:rsidRPr="00217CA0">
        <w:rPr>
          <w:rFonts w:eastAsia="Arial"/>
          <w:spacing w:val="57"/>
          <w:szCs w:val="24"/>
        </w:rPr>
        <w:t xml:space="preserve"> </w:t>
      </w:r>
      <w:r w:rsidRPr="00217CA0">
        <w:rPr>
          <w:rFonts w:eastAsia="Arial"/>
          <w:spacing w:val="-2"/>
          <w:szCs w:val="24"/>
        </w:rPr>
        <w:t>o</w:t>
      </w:r>
      <w:r w:rsidRPr="00217CA0">
        <w:rPr>
          <w:rFonts w:eastAsia="Arial"/>
          <w:szCs w:val="24"/>
        </w:rPr>
        <w:t>f</w:t>
      </w:r>
      <w:r w:rsidRPr="00217CA0">
        <w:rPr>
          <w:rFonts w:eastAsia="Arial"/>
          <w:spacing w:val="60"/>
          <w:szCs w:val="24"/>
        </w:rPr>
        <w:t xml:space="preserve"> </w:t>
      </w:r>
      <w:r w:rsidRPr="00217CA0">
        <w:rPr>
          <w:rFonts w:eastAsia="Arial"/>
          <w:spacing w:val="-2"/>
          <w:szCs w:val="24"/>
        </w:rPr>
        <w:t>t</w:t>
      </w:r>
      <w:r w:rsidRPr="00217CA0">
        <w:rPr>
          <w:rFonts w:eastAsia="Arial"/>
          <w:szCs w:val="24"/>
        </w:rPr>
        <w:t>he</w:t>
      </w:r>
      <w:r w:rsidRPr="00217CA0">
        <w:rPr>
          <w:rFonts w:eastAsia="Arial"/>
          <w:spacing w:val="58"/>
          <w:szCs w:val="24"/>
        </w:rPr>
        <w:t xml:space="preserve"> </w:t>
      </w:r>
      <w:r w:rsidRPr="00217CA0">
        <w:rPr>
          <w:rFonts w:eastAsia="Arial"/>
          <w:szCs w:val="24"/>
        </w:rPr>
        <w:t>Nat</w:t>
      </w:r>
      <w:r w:rsidRPr="00217CA0">
        <w:rPr>
          <w:rFonts w:eastAsia="Arial"/>
          <w:spacing w:val="-3"/>
          <w:szCs w:val="24"/>
        </w:rPr>
        <w:t>i</w:t>
      </w:r>
      <w:r w:rsidRPr="00217CA0">
        <w:rPr>
          <w:rFonts w:eastAsia="Arial"/>
          <w:szCs w:val="24"/>
        </w:rPr>
        <w:t>onal</w:t>
      </w:r>
      <w:r w:rsidRPr="00217CA0">
        <w:rPr>
          <w:rFonts w:eastAsia="Arial"/>
          <w:spacing w:val="55"/>
          <w:szCs w:val="24"/>
        </w:rPr>
        <w:t xml:space="preserve"> </w:t>
      </w:r>
      <w:r w:rsidRPr="00217CA0">
        <w:rPr>
          <w:rFonts w:eastAsia="Arial"/>
          <w:szCs w:val="24"/>
        </w:rPr>
        <w:t>Park</w:t>
      </w:r>
      <w:r w:rsidRPr="00217CA0">
        <w:rPr>
          <w:rFonts w:eastAsia="Arial"/>
          <w:spacing w:val="54"/>
          <w:szCs w:val="24"/>
        </w:rPr>
        <w:t xml:space="preserve"> </w:t>
      </w:r>
      <w:r w:rsidRPr="00217CA0">
        <w:rPr>
          <w:rFonts w:eastAsia="Arial"/>
          <w:szCs w:val="24"/>
        </w:rPr>
        <w:t>is</w:t>
      </w:r>
      <w:r w:rsidRPr="00217CA0">
        <w:rPr>
          <w:rFonts w:eastAsia="Arial"/>
          <w:spacing w:val="57"/>
          <w:szCs w:val="24"/>
        </w:rPr>
        <w:t xml:space="preserve"> </w:t>
      </w:r>
      <w:r w:rsidRPr="00217CA0">
        <w:rPr>
          <w:rFonts w:eastAsia="Arial"/>
          <w:szCs w:val="24"/>
        </w:rPr>
        <w:t>desi</w:t>
      </w:r>
      <w:r w:rsidRPr="00217CA0">
        <w:rPr>
          <w:rFonts w:eastAsia="Arial"/>
          <w:spacing w:val="-2"/>
          <w:szCs w:val="24"/>
        </w:rPr>
        <w:t>g</w:t>
      </w:r>
      <w:r w:rsidRPr="00217CA0">
        <w:rPr>
          <w:rFonts w:eastAsia="Arial"/>
          <w:szCs w:val="24"/>
        </w:rPr>
        <w:t>nat</w:t>
      </w:r>
      <w:r w:rsidRPr="00217CA0">
        <w:rPr>
          <w:rFonts w:eastAsia="Arial"/>
          <w:spacing w:val="-1"/>
          <w:szCs w:val="24"/>
        </w:rPr>
        <w:t>e</w:t>
      </w:r>
      <w:r w:rsidRPr="00217CA0">
        <w:rPr>
          <w:rFonts w:eastAsia="Arial"/>
          <w:szCs w:val="24"/>
        </w:rPr>
        <w:t>d</w:t>
      </w:r>
      <w:r w:rsidRPr="00217CA0">
        <w:rPr>
          <w:rFonts w:eastAsia="Arial"/>
          <w:spacing w:val="58"/>
          <w:szCs w:val="24"/>
        </w:rPr>
        <w:t xml:space="preserve"> </w:t>
      </w:r>
      <w:r w:rsidRPr="00217CA0">
        <w:rPr>
          <w:rFonts w:eastAsia="Arial"/>
          <w:szCs w:val="24"/>
        </w:rPr>
        <w:t>as</w:t>
      </w:r>
      <w:r w:rsidRPr="00217CA0">
        <w:rPr>
          <w:rFonts w:eastAsia="Arial"/>
          <w:spacing w:val="54"/>
          <w:szCs w:val="24"/>
        </w:rPr>
        <w:t xml:space="preserve"> </w:t>
      </w:r>
      <w:r w:rsidRPr="00217CA0">
        <w:rPr>
          <w:rFonts w:eastAsia="Arial"/>
          <w:szCs w:val="24"/>
        </w:rPr>
        <w:t>be</w:t>
      </w:r>
      <w:r w:rsidRPr="00217CA0">
        <w:rPr>
          <w:rFonts w:eastAsia="Arial"/>
          <w:spacing w:val="-3"/>
          <w:szCs w:val="24"/>
        </w:rPr>
        <w:t>i</w:t>
      </w:r>
      <w:r w:rsidRPr="00217CA0">
        <w:rPr>
          <w:rFonts w:eastAsia="Arial"/>
          <w:szCs w:val="24"/>
        </w:rPr>
        <w:t>ng</w:t>
      </w:r>
      <w:r w:rsidRPr="00217CA0">
        <w:rPr>
          <w:rFonts w:eastAsia="Arial"/>
          <w:spacing w:val="56"/>
          <w:szCs w:val="24"/>
        </w:rPr>
        <w:t xml:space="preserve"> </w:t>
      </w:r>
      <w:r w:rsidRPr="00217CA0">
        <w:rPr>
          <w:rFonts w:eastAsia="Arial"/>
          <w:spacing w:val="-2"/>
          <w:szCs w:val="24"/>
        </w:rPr>
        <w:t>o</w:t>
      </w:r>
      <w:r w:rsidRPr="00217CA0">
        <w:rPr>
          <w:rFonts w:eastAsia="Arial"/>
          <w:szCs w:val="24"/>
        </w:rPr>
        <w:t>f internat</w:t>
      </w:r>
      <w:r w:rsidRPr="00217CA0">
        <w:rPr>
          <w:rFonts w:eastAsia="Arial"/>
          <w:spacing w:val="-3"/>
          <w:szCs w:val="24"/>
        </w:rPr>
        <w:t>i</w:t>
      </w:r>
      <w:r w:rsidRPr="00217CA0">
        <w:rPr>
          <w:rFonts w:eastAsia="Arial"/>
          <w:szCs w:val="24"/>
        </w:rPr>
        <w:t>onal</w:t>
      </w:r>
      <w:r w:rsidRPr="00217CA0">
        <w:rPr>
          <w:rFonts w:eastAsia="Arial"/>
          <w:spacing w:val="35"/>
          <w:szCs w:val="24"/>
        </w:rPr>
        <w:t xml:space="preserve"> </w:t>
      </w:r>
      <w:r w:rsidRPr="00217CA0">
        <w:rPr>
          <w:rFonts w:eastAsia="Arial"/>
          <w:spacing w:val="-3"/>
          <w:szCs w:val="24"/>
        </w:rPr>
        <w:t>i</w:t>
      </w:r>
      <w:r w:rsidRPr="00217CA0">
        <w:rPr>
          <w:rFonts w:eastAsia="Arial"/>
          <w:spacing w:val="1"/>
          <w:szCs w:val="24"/>
        </w:rPr>
        <w:t>m</w:t>
      </w:r>
      <w:r w:rsidRPr="00217CA0">
        <w:rPr>
          <w:rFonts w:eastAsia="Arial"/>
          <w:spacing w:val="-2"/>
          <w:szCs w:val="24"/>
        </w:rPr>
        <w:t>p</w:t>
      </w:r>
      <w:r w:rsidRPr="00217CA0">
        <w:rPr>
          <w:rFonts w:eastAsia="Arial"/>
          <w:szCs w:val="24"/>
        </w:rPr>
        <w:t>orta</w:t>
      </w:r>
      <w:r w:rsidRPr="00217CA0">
        <w:rPr>
          <w:rFonts w:eastAsia="Arial"/>
          <w:spacing w:val="-1"/>
          <w:szCs w:val="24"/>
        </w:rPr>
        <w:t>n</w:t>
      </w:r>
      <w:r w:rsidRPr="00217CA0">
        <w:rPr>
          <w:rFonts w:eastAsia="Arial"/>
          <w:szCs w:val="24"/>
        </w:rPr>
        <w:t>ce</w:t>
      </w:r>
      <w:r w:rsidRPr="00217CA0">
        <w:rPr>
          <w:rFonts w:eastAsia="Arial"/>
          <w:spacing w:val="34"/>
          <w:szCs w:val="24"/>
        </w:rPr>
        <w:t xml:space="preserve"> </w:t>
      </w:r>
      <w:r w:rsidRPr="00217CA0">
        <w:rPr>
          <w:rFonts w:eastAsia="Arial"/>
          <w:spacing w:val="2"/>
          <w:szCs w:val="24"/>
        </w:rPr>
        <w:t>f</w:t>
      </w:r>
      <w:r w:rsidRPr="00217CA0">
        <w:rPr>
          <w:rFonts w:eastAsia="Arial"/>
          <w:szCs w:val="24"/>
        </w:rPr>
        <w:t>or</w:t>
      </w:r>
      <w:r w:rsidRPr="00217CA0">
        <w:rPr>
          <w:rFonts w:eastAsia="Arial"/>
          <w:spacing w:val="35"/>
          <w:szCs w:val="24"/>
        </w:rPr>
        <w:t xml:space="preserve"> </w:t>
      </w:r>
      <w:r w:rsidRPr="00217CA0">
        <w:rPr>
          <w:rFonts w:eastAsia="Arial"/>
          <w:spacing w:val="-2"/>
          <w:szCs w:val="24"/>
        </w:rPr>
        <w:t>n</w:t>
      </w:r>
      <w:r w:rsidRPr="00217CA0">
        <w:rPr>
          <w:rFonts w:eastAsia="Arial"/>
          <w:szCs w:val="24"/>
        </w:rPr>
        <w:t>at</w:t>
      </w:r>
      <w:r w:rsidRPr="00217CA0">
        <w:rPr>
          <w:rFonts w:eastAsia="Arial"/>
          <w:spacing w:val="1"/>
          <w:szCs w:val="24"/>
        </w:rPr>
        <w:t>u</w:t>
      </w:r>
      <w:r w:rsidRPr="00217CA0">
        <w:rPr>
          <w:rFonts w:eastAsia="Arial"/>
          <w:spacing w:val="-4"/>
          <w:szCs w:val="24"/>
        </w:rPr>
        <w:t>r</w:t>
      </w:r>
      <w:r w:rsidRPr="00217CA0">
        <w:rPr>
          <w:rFonts w:eastAsia="Arial"/>
          <w:szCs w:val="24"/>
        </w:rPr>
        <w:t>e</w:t>
      </w:r>
      <w:r w:rsidRPr="00217CA0">
        <w:rPr>
          <w:rFonts w:eastAsia="Arial"/>
          <w:spacing w:val="36"/>
          <w:szCs w:val="24"/>
        </w:rPr>
        <w:t xml:space="preserve"> </w:t>
      </w:r>
      <w:r w:rsidRPr="00217CA0">
        <w:rPr>
          <w:rFonts w:eastAsia="Arial"/>
          <w:szCs w:val="24"/>
        </w:rPr>
        <w:t>c</w:t>
      </w:r>
      <w:r w:rsidRPr="00217CA0">
        <w:rPr>
          <w:rFonts w:eastAsia="Arial"/>
          <w:spacing w:val="6"/>
          <w:szCs w:val="24"/>
        </w:rPr>
        <w:t>o</w:t>
      </w:r>
      <w:r w:rsidRPr="00217CA0">
        <w:rPr>
          <w:rFonts w:eastAsia="Arial"/>
          <w:szCs w:val="24"/>
        </w:rPr>
        <w:t>n</w:t>
      </w:r>
      <w:r w:rsidRPr="00217CA0">
        <w:rPr>
          <w:rFonts w:eastAsia="Arial"/>
          <w:spacing w:val="-3"/>
          <w:szCs w:val="24"/>
        </w:rPr>
        <w:t>s</w:t>
      </w:r>
      <w:r w:rsidRPr="00217CA0">
        <w:rPr>
          <w:rFonts w:eastAsia="Arial"/>
          <w:szCs w:val="24"/>
        </w:rPr>
        <w:t>er</w:t>
      </w:r>
      <w:r w:rsidRPr="00217CA0">
        <w:rPr>
          <w:rFonts w:eastAsia="Arial"/>
          <w:spacing w:val="-4"/>
          <w:szCs w:val="24"/>
        </w:rPr>
        <w:t>v</w:t>
      </w:r>
      <w:r w:rsidRPr="00217CA0">
        <w:rPr>
          <w:rFonts w:eastAsia="Arial"/>
          <w:szCs w:val="24"/>
        </w:rPr>
        <w:t>ation</w:t>
      </w:r>
      <w:r w:rsidRPr="00217CA0">
        <w:rPr>
          <w:rFonts w:eastAsia="Arial"/>
          <w:spacing w:val="34"/>
          <w:szCs w:val="24"/>
        </w:rPr>
        <w:t xml:space="preserve"> </w:t>
      </w:r>
      <w:r w:rsidRPr="00217CA0">
        <w:rPr>
          <w:rFonts w:eastAsia="Arial"/>
          <w:szCs w:val="24"/>
        </w:rPr>
        <w:t>and</w:t>
      </w:r>
      <w:r w:rsidRPr="00217CA0">
        <w:rPr>
          <w:rFonts w:eastAsia="Arial"/>
          <w:spacing w:val="35"/>
          <w:szCs w:val="24"/>
        </w:rPr>
        <w:t xml:space="preserve"> </w:t>
      </w:r>
      <w:r w:rsidRPr="00217CA0">
        <w:rPr>
          <w:rFonts w:eastAsia="Arial"/>
          <w:szCs w:val="24"/>
        </w:rPr>
        <w:t>new</w:t>
      </w:r>
      <w:r w:rsidRPr="00217CA0">
        <w:rPr>
          <w:rFonts w:eastAsia="Arial"/>
          <w:spacing w:val="33"/>
          <w:szCs w:val="24"/>
        </w:rPr>
        <w:t xml:space="preserve"> </w:t>
      </w:r>
      <w:r w:rsidRPr="00217CA0">
        <w:rPr>
          <w:rFonts w:eastAsia="Arial"/>
          <w:szCs w:val="24"/>
        </w:rPr>
        <w:t>de</w:t>
      </w:r>
      <w:r w:rsidRPr="00217CA0">
        <w:rPr>
          <w:rFonts w:eastAsia="Arial"/>
          <w:spacing w:val="-3"/>
          <w:szCs w:val="24"/>
        </w:rPr>
        <w:t>v</w:t>
      </w:r>
      <w:r w:rsidRPr="00217CA0">
        <w:rPr>
          <w:rFonts w:eastAsia="Arial"/>
          <w:szCs w:val="24"/>
        </w:rPr>
        <w:t>el</w:t>
      </w:r>
      <w:r w:rsidRPr="00217CA0">
        <w:rPr>
          <w:rFonts w:eastAsia="Arial"/>
          <w:spacing w:val="-2"/>
          <w:szCs w:val="24"/>
        </w:rPr>
        <w:t>o</w:t>
      </w:r>
      <w:r w:rsidRPr="00217CA0">
        <w:rPr>
          <w:rFonts w:eastAsia="Arial"/>
          <w:szCs w:val="24"/>
        </w:rPr>
        <w:t>p</w:t>
      </w:r>
      <w:r w:rsidRPr="00217CA0">
        <w:rPr>
          <w:rFonts w:eastAsia="Arial"/>
          <w:spacing w:val="1"/>
          <w:szCs w:val="24"/>
        </w:rPr>
        <w:t>m</w:t>
      </w:r>
      <w:r w:rsidRPr="00217CA0">
        <w:rPr>
          <w:rFonts w:eastAsia="Arial"/>
          <w:spacing w:val="-2"/>
          <w:szCs w:val="24"/>
        </w:rPr>
        <w:t>e</w:t>
      </w:r>
      <w:r w:rsidRPr="00217CA0">
        <w:rPr>
          <w:rFonts w:eastAsia="Arial"/>
          <w:szCs w:val="24"/>
        </w:rPr>
        <w:t xml:space="preserve">nt </w:t>
      </w:r>
      <w:r w:rsidRPr="00217CA0">
        <w:rPr>
          <w:rFonts w:eastAsia="Arial"/>
          <w:spacing w:val="1"/>
          <w:szCs w:val="24"/>
        </w:rPr>
        <w:t>m</w:t>
      </w:r>
      <w:r w:rsidRPr="00217CA0">
        <w:rPr>
          <w:rFonts w:eastAsia="Arial"/>
          <w:szCs w:val="24"/>
        </w:rPr>
        <w:t>ust</w:t>
      </w:r>
      <w:r w:rsidRPr="00217CA0">
        <w:rPr>
          <w:rFonts w:eastAsia="Arial"/>
          <w:spacing w:val="-2"/>
          <w:szCs w:val="24"/>
        </w:rPr>
        <w:t xml:space="preserve"> </w:t>
      </w:r>
      <w:r w:rsidRPr="00217CA0">
        <w:rPr>
          <w:rFonts w:eastAsia="Arial"/>
          <w:szCs w:val="24"/>
        </w:rPr>
        <w:t>not</w:t>
      </w:r>
      <w:r w:rsidRPr="00217CA0">
        <w:rPr>
          <w:rFonts w:eastAsia="Arial"/>
          <w:spacing w:val="-2"/>
          <w:szCs w:val="24"/>
        </w:rPr>
        <w:t xml:space="preserve"> </w:t>
      </w:r>
      <w:r w:rsidRPr="00217CA0">
        <w:rPr>
          <w:rFonts w:eastAsia="Arial"/>
          <w:szCs w:val="24"/>
        </w:rPr>
        <w:t>impact</w:t>
      </w:r>
      <w:r w:rsidRPr="00217CA0">
        <w:rPr>
          <w:rFonts w:eastAsia="Arial"/>
          <w:spacing w:val="-2"/>
          <w:szCs w:val="24"/>
        </w:rPr>
        <w:t xml:space="preserve"> </w:t>
      </w:r>
      <w:r w:rsidRPr="00217CA0">
        <w:rPr>
          <w:rFonts w:eastAsia="Arial"/>
          <w:szCs w:val="24"/>
        </w:rPr>
        <w:t>on</w:t>
      </w:r>
      <w:r w:rsidRPr="00217CA0">
        <w:rPr>
          <w:rFonts w:eastAsia="Arial"/>
          <w:spacing w:val="-2"/>
          <w:szCs w:val="24"/>
        </w:rPr>
        <w:t xml:space="preserve"> </w:t>
      </w:r>
      <w:r w:rsidRPr="00217CA0">
        <w:rPr>
          <w:rFonts w:eastAsia="Arial"/>
          <w:szCs w:val="24"/>
        </w:rPr>
        <w:t>t</w:t>
      </w:r>
      <w:r w:rsidRPr="00217CA0">
        <w:rPr>
          <w:rFonts w:eastAsia="Arial"/>
          <w:spacing w:val="1"/>
          <w:szCs w:val="24"/>
        </w:rPr>
        <w:t>h</w:t>
      </w:r>
      <w:r w:rsidRPr="00217CA0">
        <w:rPr>
          <w:rFonts w:eastAsia="Arial"/>
          <w:szCs w:val="24"/>
        </w:rPr>
        <w:t>e</w:t>
      </w:r>
      <w:r w:rsidRPr="00217CA0">
        <w:rPr>
          <w:rFonts w:eastAsia="Arial"/>
          <w:spacing w:val="-2"/>
          <w:szCs w:val="24"/>
        </w:rPr>
        <w:t xml:space="preserve"> </w:t>
      </w:r>
      <w:r w:rsidRPr="00217CA0">
        <w:rPr>
          <w:rFonts w:eastAsia="Arial"/>
          <w:szCs w:val="24"/>
        </w:rPr>
        <w:t>int</w:t>
      </w:r>
      <w:r w:rsidRPr="00217CA0">
        <w:rPr>
          <w:rFonts w:eastAsia="Arial"/>
          <w:spacing w:val="1"/>
          <w:szCs w:val="24"/>
        </w:rPr>
        <w:t>e</w:t>
      </w:r>
      <w:r w:rsidRPr="00217CA0">
        <w:rPr>
          <w:rFonts w:eastAsia="Arial"/>
          <w:spacing w:val="-2"/>
          <w:szCs w:val="24"/>
        </w:rPr>
        <w:t>g</w:t>
      </w:r>
      <w:r w:rsidRPr="00217CA0">
        <w:rPr>
          <w:rFonts w:eastAsia="Arial"/>
          <w:szCs w:val="24"/>
        </w:rPr>
        <w:t>r</w:t>
      </w:r>
      <w:r w:rsidRPr="00217CA0">
        <w:rPr>
          <w:rFonts w:eastAsia="Arial"/>
          <w:spacing w:val="-2"/>
          <w:szCs w:val="24"/>
        </w:rPr>
        <w:t>i</w:t>
      </w:r>
      <w:r w:rsidRPr="00217CA0">
        <w:rPr>
          <w:rFonts w:eastAsia="Arial"/>
          <w:szCs w:val="24"/>
        </w:rPr>
        <w:t>ty</w:t>
      </w:r>
      <w:r w:rsidRPr="00217CA0">
        <w:rPr>
          <w:rFonts w:eastAsia="Arial"/>
          <w:spacing w:val="-2"/>
          <w:szCs w:val="24"/>
        </w:rPr>
        <w:t xml:space="preserve"> </w:t>
      </w:r>
      <w:r w:rsidRPr="00217CA0">
        <w:rPr>
          <w:rFonts w:eastAsia="Arial"/>
          <w:spacing w:val="1"/>
          <w:szCs w:val="24"/>
        </w:rPr>
        <w:t>o</w:t>
      </w:r>
      <w:r w:rsidRPr="00217CA0">
        <w:rPr>
          <w:rFonts w:eastAsia="Arial"/>
          <w:szCs w:val="24"/>
        </w:rPr>
        <w:t>f</w:t>
      </w:r>
      <w:r w:rsidRPr="00217CA0">
        <w:rPr>
          <w:rFonts w:eastAsia="Arial"/>
          <w:spacing w:val="2"/>
          <w:szCs w:val="24"/>
        </w:rPr>
        <w:t xml:space="preserve"> </w:t>
      </w:r>
      <w:r w:rsidRPr="00217CA0">
        <w:rPr>
          <w:rFonts w:eastAsia="Arial"/>
          <w:spacing w:val="-2"/>
          <w:szCs w:val="24"/>
        </w:rPr>
        <w:t>t</w:t>
      </w:r>
      <w:r w:rsidRPr="00217CA0">
        <w:rPr>
          <w:rFonts w:eastAsia="Arial"/>
          <w:szCs w:val="24"/>
        </w:rPr>
        <w:t>he New</w:t>
      </w:r>
      <w:r w:rsidRPr="00217CA0">
        <w:rPr>
          <w:rFonts w:eastAsia="Arial"/>
          <w:spacing w:val="-3"/>
          <w:szCs w:val="24"/>
        </w:rPr>
        <w:t xml:space="preserve"> </w:t>
      </w:r>
      <w:r w:rsidRPr="00217CA0">
        <w:rPr>
          <w:rFonts w:eastAsia="Arial"/>
          <w:szCs w:val="24"/>
        </w:rPr>
        <w:t xml:space="preserve">Forest </w:t>
      </w:r>
      <w:r w:rsidRPr="00217CA0">
        <w:rPr>
          <w:rFonts w:eastAsia="Arial"/>
          <w:spacing w:val="-1"/>
          <w:szCs w:val="24"/>
        </w:rPr>
        <w:t>a</w:t>
      </w:r>
      <w:r w:rsidRPr="00217CA0">
        <w:rPr>
          <w:rFonts w:eastAsia="Arial"/>
          <w:szCs w:val="24"/>
        </w:rPr>
        <w:t xml:space="preserve">nd </w:t>
      </w:r>
      <w:r w:rsidRPr="00217CA0">
        <w:rPr>
          <w:rFonts w:eastAsia="Arial"/>
          <w:spacing w:val="-2"/>
          <w:szCs w:val="24"/>
        </w:rPr>
        <w:t>c</w:t>
      </w:r>
      <w:r w:rsidRPr="00217CA0">
        <w:rPr>
          <w:rFonts w:eastAsia="Arial"/>
          <w:szCs w:val="24"/>
        </w:rPr>
        <w:t>oas</w:t>
      </w:r>
      <w:r w:rsidRPr="00217CA0">
        <w:rPr>
          <w:rFonts w:eastAsia="Arial"/>
          <w:spacing w:val="-2"/>
          <w:szCs w:val="24"/>
        </w:rPr>
        <w:t>t</w:t>
      </w:r>
      <w:r w:rsidRPr="00217CA0">
        <w:rPr>
          <w:rFonts w:eastAsia="Arial"/>
          <w:szCs w:val="24"/>
        </w:rPr>
        <w:t>al h</w:t>
      </w:r>
      <w:r w:rsidRPr="00217CA0">
        <w:rPr>
          <w:rFonts w:eastAsia="Arial"/>
          <w:spacing w:val="-2"/>
          <w:szCs w:val="24"/>
        </w:rPr>
        <w:t>a</w:t>
      </w:r>
      <w:r w:rsidRPr="00217CA0">
        <w:rPr>
          <w:rFonts w:eastAsia="Arial"/>
          <w:szCs w:val="24"/>
        </w:rPr>
        <w:t>bi</w:t>
      </w:r>
      <w:r w:rsidRPr="00217CA0">
        <w:rPr>
          <w:rFonts w:eastAsia="Arial"/>
          <w:spacing w:val="-3"/>
          <w:szCs w:val="24"/>
        </w:rPr>
        <w:t>t</w:t>
      </w:r>
      <w:r w:rsidRPr="00217CA0">
        <w:rPr>
          <w:rFonts w:eastAsia="Arial"/>
          <w:szCs w:val="24"/>
        </w:rPr>
        <w:t>ats.</w:t>
      </w:r>
    </w:p>
    <w:p w14:paraId="15B2CFF8" w14:textId="77777777" w:rsidR="00011D29" w:rsidRPr="00217CA0" w:rsidRDefault="00011D29" w:rsidP="00011D29">
      <w:pPr>
        <w:widowControl w:val="0"/>
        <w:ind w:left="1276" w:right="121"/>
        <w:rPr>
          <w:rFonts w:eastAsia="Arial"/>
          <w:szCs w:val="36"/>
        </w:rPr>
      </w:pPr>
    </w:p>
    <w:p w14:paraId="28B64F5F" w14:textId="0C85D7F5" w:rsidR="001F6C93" w:rsidRPr="001F6C93" w:rsidRDefault="001F6C93" w:rsidP="00011D29">
      <w:pPr>
        <w:widowControl w:val="0"/>
        <w:numPr>
          <w:ilvl w:val="2"/>
          <w:numId w:val="17"/>
        </w:numPr>
        <w:ind w:left="1276" w:right="122" w:hanging="567"/>
        <w:rPr>
          <w:rFonts w:eastAsia="Arial"/>
          <w:szCs w:val="24"/>
        </w:rPr>
      </w:pPr>
      <w:r w:rsidRPr="00E56B51">
        <w:rPr>
          <w:rFonts w:eastAsia="Arial"/>
          <w:i/>
          <w:iCs/>
          <w:szCs w:val="24"/>
        </w:rPr>
        <w:t>Addressing the causes and impacts</w:t>
      </w:r>
      <w:r w:rsidR="00E57E20" w:rsidRPr="00E56B51">
        <w:rPr>
          <w:rFonts w:eastAsia="Arial"/>
          <w:i/>
          <w:iCs/>
          <w:szCs w:val="24"/>
        </w:rPr>
        <w:t xml:space="preserve"> of climate change on the New Forest National Park through a range of measures</w:t>
      </w:r>
      <w:r w:rsidR="00363E05" w:rsidRPr="00E56B51">
        <w:rPr>
          <w:rFonts w:eastAsia="Arial"/>
          <w:i/>
          <w:iCs/>
          <w:szCs w:val="24"/>
        </w:rPr>
        <w:t xml:space="preserve"> consistent with the statutory National Park purposes</w:t>
      </w:r>
      <w:r w:rsidR="00363E05">
        <w:rPr>
          <w:rFonts w:eastAsia="Arial"/>
          <w:szCs w:val="24"/>
        </w:rPr>
        <w:t xml:space="preserve"> – the focus on responding to the declared nature and climate emergency</w:t>
      </w:r>
      <w:r w:rsidR="00E56B51">
        <w:rPr>
          <w:rFonts w:eastAsia="Arial"/>
          <w:szCs w:val="24"/>
        </w:rPr>
        <w:t xml:space="preserve"> will be on nature-based solutions and local community initiatives.</w:t>
      </w:r>
    </w:p>
    <w:p w14:paraId="750FB6FE" w14:textId="77777777" w:rsidR="001F6C93" w:rsidRDefault="001F6C93" w:rsidP="001F6C93">
      <w:pPr>
        <w:pStyle w:val="ListParagraph"/>
        <w:rPr>
          <w:rFonts w:eastAsia="Arial"/>
          <w:i/>
          <w:szCs w:val="24"/>
        </w:rPr>
      </w:pPr>
    </w:p>
    <w:p w14:paraId="07E11B5D" w14:textId="77E0C24A" w:rsidR="00011D29" w:rsidRPr="00217CA0" w:rsidRDefault="00E56B51" w:rsidP="00011D29">
      <w:pPr>
        <w:widowControl w:val="0"/>
        <w:numPr>
          <w:ilvl w:val="2"/>
          <w:numId w:val="17"/>
        </w:numPr>
        <w:ind w:left="1276" w:right="122" w:hanging="567"/>
        <w:rPr>
          <w:rFonts w:eastAsia="Arial"/>
          <w:szCs w:val="24"/>
        </w:rPr>
      </w:pPr>
      <w:r>
        <w:rPr>
          <w:rFonts w:eastAsia="Arial"/>
          <w:i/>
          <w:szCs w:val="24"/>
        </w:rPr>
        <w:lastRenderedPageBreak/>
        <w:t>De</w:t>
      </w:r>
      <w:r w:rsidR="00014C4F">
        <w:rPr>
          <w:rFonts w:eastAsia="Arial"/>
          <w:i/>
          <w:szCs w:val="24"/>
        </w:rPr>
        <w:t>veloping</w:t>
      </w:r>
      <w:r>
        <w:rPr>
          <w:rFonts w:eastAsia="Arial"/>
          <w:i/>
          <w:szCs w:val="24"/>
        </w:rPr>
        <w:t xml:space="preserve"> a positive strategy for</w:t>
      </w:r>
      <w:r w:rsidR="00581AB1">
        <w:rPr>
          <w:rFonts w:eastAsia="Arial"/>
          <w:i/>
          <w:szCs w:val="24"/>
        </w:rPr>
        <w:t xml:space="preserve"> the conservation and enhancement of</w:t>
      </w:r>
      <w:r w:rsidR="00011D29" w:rsidRPr="00217CA0">
        <w:rPr>
          <w:rFonts w:eastAsia="Arial"/>
          <w:i/>
          <w:szCs w:val="24"/>
        </w:rPr>
        <w:t xml:space="preserve"> loc</w:t>
      </w:r>
      <w:r w:rsidR="00011D29" w:rsidRPr="00217CA0">
        <w:rPr>
          <w:rFonts w:eastAsia="Arial"/>
          <w:i/>
          <w:spacing w:val="1"/>
          <w:szCs w:val="24"/>
        </w:rPr>
        <w:t>a</w:t>
      </w:r>
      <w:r w:rsidR="00011D29" w:rsidRPr="00217CA0">
        <w:rPr>
          <w:rFonts w:eastAsia="Arial"/>
          <w:i/>
          <w:szCs w:val="24"/>
        </w:rPr>
        <w:t>l</w:t>
      </w:r>
      <w:r w:rsidR="00011D29" w:rsidRPr="00217CA0">
        <w:rPr>
          <w:rFonts w:eastAsia="Arial"/>
          <w:i/>
          <w:spacing w:val="44"/>
          <w:szCs w:val="24"/>
        </w:rPr>
        <w:t xml:space="preserve"> </w:t>
      </w:r>
      <w:r w:rsidR="00011D29" w:rsidRPr="00217CA0">
        <w:rPr>
          <w:rFonts w:eastAsia="Arial"/>
          <w:i/>
          <w:szCs w:val="24"/>
        </w:rPr>
        <w:t>distinctiv</w:t>
      </w:r>
      <w:r w:rsidR="00011D29" w:rsidRPr="00217CA0">
        <w:rPr>
          <w:rFonts w:eastAsia="Arial"/>
          <w:i/>
          <w:spacing w:val="-2"/>
          <w:szCs w:val="24"/>
        </w:rPr>
        <w:t>e</w:t>
      </w:r>
      <w:r w:rsidR="00011D29" w:rsidRPr="00217CA0">
        <w:rPr>
          <w:rFonts w:eastAsia="Arial"/>
          <w:i/>
          <w:szCs w:val="24"/>
        </w:rPr>
        <w:t>ness</w:t>
      </w:r>
      <w:r w:rsidR="00011D29" w:rsidRPr="00217CA0">
        <w:rPr>
          <w:rFonts w:eastAsia="Arial"/>
          <w:i/>
          <w:spacing w:val="43"/>
          <w:szCs w:val="24"/>
        </w:rPr>
        <w:t xml:space="preserve"> </w:t>
      </w:r>
      <w:r w:rsidR="00011D29" w:rsidRPr="00217CA0">
        <w:rPr>
          <w:rFonts w:eastAsia="Arial"/>
          <w:i/>
          <w:spacing w:val="-2"/>
          <w:szCs w:val="24"/>
        </w:rPr>
        <w:t>a</w:t>
      </w:r>
      <w:r w:rsidR="00011D29" w:rsidRPr="00217CA0">
        <w:rPr>
          <w:rFonts w:eastAsia="Arial"/>
          <w:i/>
          <w:szCs w:val="24"/>
        </w:rPr>
        <w:t>nd</w:t>
      </w:r>
      <w:r w:rsidR="00011D29" w:rsidRPr="00217CA0">
        <w:rPr>
          <w:rFonts w:eastAsia="Arial"/>
          <w:i/>
          <w:spacing w:val="46"/>
          <w:szCs w:val="24"/>
        </w:rPr>
        <w:t xml:space="preserve"> </w:t>
      </w:r>
      <w:r w:rsidR="00011D29" w:rsidRPr="00217CA0">
        <w:rPr>
          <w:rFonts w:eastAsia="Arial"/>
          <w:i/>
          <w:spacing w:val="-2"/>
          <w:szCs w:val="24"/>
        </w:rPr>
        <w:t>h</w:t>
      </w:r>
      <w:r w:rsidR="00011D29" w:rsidRPr="00217CA0">
        <w:rPr>
          <w:rFonts w:eastAsia="Arial"/>
          <w:i/>
          <w:szCs w:val="24"/>
        </w:rPr>
        <w:t>er</w:t>
      </w:r>
      <w:r w:rsidR="00011D29" w:rsidRPr="00217CA0">
        <w:rPr>
          <w:rFonts w:eastAsia="Arial"/>
          <w:i/>
          <w:spacing w:val="-2"/>
          <w:szCs w:val="24"/>
        </w:rPr>
        <w:t>i</w:t>
      </w:r>
      <w:r w:rsidR="00011D29" w:rsidRPr="00217CA0">
        <w:rPr>
          <w:rFonts w:eastAsia="Arial"/>
          <w:i/>
          <w:szCs w:val="24"/>
        </w:rPr>
        <w:t>t</w:t>
      </w:r>
      <w:r w:rsidR="00011D29" w:rsidRPr="00217CA0">
        <w:rPr>
          <w:rFonts w:eastAsia="Arial"/>
          <w:i/>
          <w:spacing w:val="1"/>
          <w:szCs w:val="24"/>
        </w:rPr>
        <w:t>a</w:t>
      </w:r>
      <w:r w:rsidR="00011D29" w:rsidRPr="00217CA0">
        <w:rPr>
          <w:rFonts w:eastAsia="Arial"/>
          <w:i/>
          <w:szCs w:val="24"/>
        </w:rPr>
        <w:t>ge</w:t>
      </w:r>
      <w:r w:rsidR="00011D29" w:rsidRPr="00217CA0">
        <w:rPr>
          <w:rFonts w:eastAsia="Arial"/>
          <w:i/>
          <w:spacing w:val="43"/>
          <w:szCs w:val="24"/>
        </w:rPr>
        <w:t xml:space="preserve"> </w:t>
      </w:r>
      <w:r w:rsidR="00011D29" w:rsidRPr="00217CA0">
        <w:rPr>
          <w:rFonts w:eastAsia="Arial"/>
          <w:i/>
          <w:szCs w:val="24"/>
        </w:rPr>
        <w:t>assets</w:t>
      </w:r>
      <w:r w:rsidR="00011D29" w:rsidRPr="00217CA0">
        <w:rPr>
          <w:rFonts w:eastAsia="Arial"/>
          <w:i/>
          <w:spacing w:val="44"/>
          <w:szCs w:val="24"/>
        </w:rPr>
        <w:t xml:space="preserve"> </w:t>
      </w:r>
      <w:r w:rsidR="00011D29" w:rsidRPr="00217CA0">
        <w:rPr>
          <w:rFonts w:eastAsia="Arial"/>
          <w:i/>
          <w:spacing w:val="1"/>
          <w:szCs w:val="24"/>
        </w:rPr>
        <w:t>w</w:t>
      </w:r>
      <w:r w:rsidR="00011D29" w:rsidRPr="00217CA0">
        <w:rPr>
          <w:rFonts w:eastAsia="Arial"/>
          <w:i/>
          <w:spacing w:val="-3"/>
          <w:szCs w:val="24"/>
        </w:rPr>
        <w:t>i</w:t>
      </w:r>
      <w:r w:rsidR="00011D29" w:rsidRPr="00217CA0">
        <w:rPr>
          <w:rFonts w:eastAsia="Arial"/>
          <w:i/>
          <w:szCs w:val="24"/>
        </w:rPr>
        <w:t>t</w:t>
      </w:r>
      <w:r w:rsidR="00011D29" w:rsidRPr="00217CA0">
        <w:rPr>
          <w:rFonts w:eastAsia="Arial"/>
          <w:i/>
          <w:spacing w:val="1"/>
          <w:szCs w:val="24"/>
        </w:rPr>
        <w:t>h</w:t>
      </w:r>
      <w:r w:rsidR="00011D29" w:rsidRPr="00217CA0">
        <w:rPr>
          <w:rFonts w:eastAsia="Arial"/>
          <w:i/>
          <w:szCs w:val="24"/>
        </w:rPr>
        <w:t>in</w:t>
      </w:r>
      <w:r w:rsidR="00011D29" w:rsidRPr="00217CA0">
        <w:rPr>
          <w:rFonts w:eastAsia="Arial"/>
          <w:i/>
          <w:spacing w:val="46"/>
          <w:szCs w:val="24"/>
        </w:rPr>
        <w:t xml:space="preserve"> </w:t>
      </w:r>
      <w:r w:rsidR="00011D29" w:rsidRPr="00217CA0">
        <w:rPr>
          <w:rFonts w:eastAsia="Arial"/>
          <w:i/>
          <w:szCs w:val="24"/>
        </w:rPr>
        <w:t>t</w:t>
      </w:r>
      <w:r w:rsidR="00011D29" w:rsidRPr="00217CA0">
        <w:rPr>
          <w:rFonts w:eastAsia="Arial"/>
          <w:i/>
          <w:spacing w:val="-1"/>
          <w:szCs w:val="24"/>
        </w:rPr>
        <w:t>h</w:t>
      </w:r>
      <w:r w:rsidR="00011D29" w:rsidRPr="00217CA0">
        <w:rPr>
          <w:rFonts w:eastAsia="Arial"/>
          <w:i/>
          <w:szCs w:val="24"/>
        </w:rPr>
        <w:t>e</w:t>
      </w:r>
      <w:r w:rsidR="00011D29" w:rsidRPr="00217CA0">
        <w:rPr>
          <w:rFonts w:eastAsia="Arial"/>
          <w:i/>
          <w:spacing w:val="46"/>
          <w:szCs w:val="24"/>
        </w:rPr>
        <w:t xml:space="preserve"> </w:t>
      </w:r>
      <w:r w:rsidR="00011D29" w:rsidRPr="00217CA0">
        <w:rPr>
          <w:rFonts w:eastAsia="Arial"/>
          <w:i/>
          <w:szCs w:val="24"/>
        </w:rPr>
        <w:t>N</w:t>
      </w:r>
      <w:r w:rsidR="00011D29" w:rsidRPr="00217CA0">
        <w:rPr>
          <w:rFonts w:eastAsia="Arial"/>
          <w:i/>
          <w:spacing w:val="-2"/>
          <w:szCs w:val="24"/>
        </w:rPr>
        <w:t>e</w:t>
      </w:r>
      <w:r w:rsidR="00011D29" w:rsidRPr="00217CA0">
        <w:rPr>
          <w:rFonts w:eastAsia="Arial"/>
          <w:i/>
          <w:szCs w:val="24"/>
        </w:rPr>
        <w:t>w</w:t>
      </w:r>
      <w:r w:rsidR="00011D29" w:rsidRPr="00217CA0">
        <w:rPr>
          <w:rFonts w:eastAsia="Arial"/>
          <w:i/>
          <w:spacing w:val="46"/>
          <w:szCs w:val="24"/>
        </w:rPr>
        <w:t xml:space="preserve"> </w:t>
      </w:r>
      <w:r w:rsidR="00011D29" w:rsidRPr="00217CA0">
        <w:rPr>
          <w:rFonts w:eastAsia="Arial"/>
          <w:i/>
          <w:szCs w:val="24"/>
        </w:rPr>
        <w:t>Fore</w:t>
      </w:r>
      <w:r w:rsidR="00011D29" w:rsidRPr="00217CA0">
        <w:rPr>
          <w:rFonts w:eastAsia="Arial"/>
          <w:i/>
          <w:spacing w:val="-3"/>
          <w:szCs w:val="24"/>
        </w:rPr>
        <w:t>s</w:t>
      </w:r>
      <w:r w:rsidR="00011D29" w:rsidRPr="00217CA0">
        <w:rPr>
          <w:rFonts w:eastAsia="Arial"/>
          <w:i/>
          <w:spacing w:val="2"/>
          <w:szCs w:val="24"/>
        </w:rPr>
        <w:t>t</w:t>
      </w:r>
      <w:r w:rsidR="00011D29" w:rsidRPr="00217CA0">
        <w:rPr>
          <w:rFonts w:eastAsia="Arial"/>
          <w:i/>
          <w:spacing w:val="-6"/>
          <w:szCs w:val="24"/>
        </w:rPr>
        <w:t>’</w:t>
      </w:r>
      <w:r w:rsidR="00011D29" w:rsidRPr="00217CA0">
        <w:rPr>
          <w:rFonts w:eastAsia="Arial"/>
          <w:i/>
          <w:szCs w:val="24"/>
        </w:rPr>
        <w:t>s</w:t>
      </w:r>
      <w:r w:rsidR="00011D29" w:rsidRPr="00217CA0">
        <w:rPr>
          <w:rFonts w:eastAsia="Arial"/>
          <w:i/>
          <w:spacing w:val="48"/>
          <w:szCs w:val="24"/>
        </w:rPr>
        <w:t xml:space="preserve"> </w:t>
      </w:r>
      <w:r w:rsidR="00011D29" w:rsidRPr="00217CA0">
        <w:rPr>
          <w:rFonts w:eastAsia="Arial"/>
          <w:i/>
          <w:szCs w:val="24"/>
        </w:rPr>
        <w:t>bui</w:t>
      </w:r>
      <w:r w:rsidR="00011D29" w:rsidRPr="00217CA0">
        <w:rPr>
          <w:rFonts w:eastAsia="Arial"/>
          <w:i/>
          <w:spacing w:val="-1"/>
          <w:szCs w:val="24"/>
        </w:rPr>
        <w:t>l</w:t>
      </w:r>
      <w:r w:rsidR="00011D29" w:rsidRPr="00217CA0">
        <w:rPr>
          <w:rFonts w:eastAsia="Arial"/>
          <w:i/>
          <w:szCs w:val="24"/>
        </w:rPr>
        <w:t>t envi</w:t>
      </w:r>
      <w:r w:rsidR="00011D29" w:rsidRPr="00217CA0">
        <w:rPr>
          <w:rFonts w:eastAsia="Arial"/>
          <w:i/>
          <w:spacing w:val="-2"/>
          <w:szCs w:val="24"/>
        </w:rPr>
        <w:t>r</w:t>
      </w:r>
      <w:r w:rsidR="00011D29" w:rsidRPr="00217CA0">
        <w:rPr>
          <w:rFonts w:eastAsia="Arial"/>
          <w:i/>
          <w:szCs w:val="24"/>
        </w:rPr>
        <w:t>on</w:t>
      </w:r>
      <w:r w:rsidR="00011D29" w:rsidRPr="00217CA0">
        <w:rPr>
          <w:rFonts w:eastAsia="Arial"/>
          <w:i/>
          <w:spacing w:val="-4"/>
          <w:szCs w:val="24"/>
        </w:rPr>
        <w:t>m</w:t>
      </w:r>
      <w:r w:rsidR="00011D29" w:rsidRPr="00217CA0">
        <w:rPr>
          <w:rFonts w:eastAsia="Arial"/>
          <w:i/>
          <w:spacing w:val="1"/>
          <w:szCs w:val="24"/>
        </w:rPr>
        <w:t>e</w:t>
      </w:r>
      <w:r w:rsidR="00011D29" w:rsidRPr="00217CA0">
        <w:rPr>
          <w:rFonts w:eastAsia="Arial"/>
          <w:i/>
          <w:szCs w:val="24"/>
        </w:rPr>
        <w:t>nt</w:t>
      </w:r>
      <w:r w:rsidR="00011D29" w:rsidRPr="00217CA0">
        <w:rPr>
          <w:rFonts w:eastAsia="Arial"/>
          <w:i/>
          <w:spacing w:val="36"/>
          <w:szCs w:val="24"/>
        </w:rPr>
        <w:t xml:space="preserve"> </w:t>
      </w:r>
      <w:r w:rsidR="00011D29" w:rsidRPr="00217CA0">
        <w:rPr>
          <w:rFonts w:eastAsia="Arial"/>
          <w:szCs w:val="24"/>
        </w:rPr>
        <w:t>–</w:t>
      </w:r>
      <w:r w:rsidR="00011D29" w:rsidRPr="00217CA0">
        <w:rPr>
          <w:rFonts w:eastAsia="Arial"/>
          <w:spacing w:val="40"/>
          <w:szCs w:val="24"/>
        </w:rPr>
        <w:t xml:space="preserve"> </w:t>
      </w:r>
      <w:r w:rsidR="00011D29" w:rsidRPr="00217CA0">
        <w:rPr>
          <w:rFonts w:eastAsia="Arial"/>
          <w:spacing w:val="-2"/>
          <w:szCs w:val="24"/>
        </w:rPr>
        <w:t>t</w:t>
      </w:r>
      <w:r w:rsidR="00011D29" w:rsidRPr="00217CA0">
        <w:rPr>
          <w:rFonts w:eastAsia="Arial"/>
          <w:szCs w:val="24"/>
        </w:rPr>
        <w:t>he</w:t>
      </w:r>
      <w:r w:rsidR="00011D29" w:rsidRPr="00217CA0">
        <w:rPr>
          <w:rFonts w:eastAsia="Arial"/>
          <w:spacing w:val="37"/>
          <w:szCs w:val="24"/>
        </w:rPr>
        <w:t xml:space="preserve"> </w:t>
      </w:r>
      <w:r w:rsidR="00011D29" w:rsidRPr="00217CA0">
        <w:rPr>
          <w:rFonts w:eastAsia="Arial"/>
          <w:szCs w:val="24"/>
        </w:rPr>
        <w:t>F</w:t>
      </w:r>
      <w:r w:rsidR="00011D29" w:rsidRPr="00217CA0">
        <w:rPr>
          <w:rFonts w:eastAsia="Arial"/>
          <w:spacing w:val="-2"/>
          <w:szCs w:val="24"/>
        </w:rPr>
        <w:t>o</w:t>
      </w:r>
      <w:r w:rsidR="00011D29" w:rsidRPr="00217CA0">
        <w:rPr>
          <w:rFonts w:eastAsia="Arial"/>
          <w:szCs w:val="24"/>
        </w:rPr>
        <w:t>rest</w:t>
      </w:r>
      <w:r w:rsidR="00011D29" w:rsidRPr="00217CA0">
        <w:rPr>
          <w:rFonts w:eastAsia="Arial"/>
          <w:spacing w:val="38"/>
          <w:szCs w:val="24"/>
        </w:rPr>
        <w:t xml:space="preserve"> </w:t>
      </w:r>
      <w:r w:rsidR="00011D29" w:rsidRPr="00217CA0">
        <w:rPr>
          <w:rFonts w:eastAsia="Arial"/>
          <w:spacing w:val="-2"/>
          <w:szCs w:val="24"/>
        </w:rPr>
        <w:t>h</w:t>
      </w:r>
      <w:r w:rsidR="00011D29" w:rsidRPr="00217CA0">
        <w:rPr>
          <w:rFonts w:eastAsia="Arial"/>
          <w:szCs w:val="24"/>
        </w:rPr>
        <w:t>as</w:t>
      </w:r>
      <w:r w:rsidR="00011D29" w:rsidRPr="00217CA0">
        <w:rPr>
          <w:rFonts w:eastAsia="Arial"/>
          <w:spacing w:val="38"/>
          <w:szCs w:val="24"/>
        </w:rPr>
        <w:t xml:space="preserve"> </w:t>
      </w:r>
      <w:r w:rsidR="00011D29" w:rsidRPr="00217CA0">
        <w:rPr>
          <w:rFonts w:eastAsia="Arial"/>
          <w:szCs w:val="24"/>
        </w:rPr>
        <w:t>a</w:t>
      </w:r>
      <w:r w:rsidR="00011D29" w:rsidRPr="00217CA0">
        <w:rPr>
          <w:rFonts w:eastAsia="Arial"/>
          <w:spacing w:val="37"/>
          <w:szCs w:val="24"/>
        </w:rPr>
        <w:t xml:space="preserve"> </w:t>
      </w:r>
      <w:r w:rsidR="00011D29" w:rsidRPr="00217CA0">
        <w:rPr>
          <w:rFonts w:eastAsia="Arial"/>
          <w:szCs w:val="24"/>
        </w:rPr>
        <w:t>r</w:t>
      </w:r>
      <w:r w:rsidR="00011D29" w:rsidRPr="00217CA0">
        <w:rPr>
          <w:rFonts w:eastAsia="Arial"/>
          <w:spacing w:val="-2"/>
          <w:szCs w:val="24"/>
        </w:rPr>
        <w:t>i</w:t>
      </w:r>
      <w:r w:rsidR="00011D29" w:rsidRPr="00217CA0">
        <w:rPr>
          <w:rFonts w:eastAsia="Arial"/>
          <w:szCs w:val="24"/>
        </w:rPr>
        <w:t>ch</w:t>
      </w:r>
      <w:r w:rsidR="00011D29" w:rsidRPr="00217CA0">
        <w:rPr>
          <w:rFonts w:eastAsia="Arial"/>
          <w:spacing w:val="37"/>
          <w:szCs w:val="24"/>
        </w:rPr>
        <w:t xml:space="preserve"> </w:t>
      </w:r>
      <w:r w:rsidR="00011D29" w:rsidRPr="00217CA0">
        <w:rPr>
          <w:rFonts w:eastAsia="Arial"/>
          <w:szCs w:val="24"/>
        </w:rPr>
        <w:t>bui</w:t>
      </w:r>
      <w:r w:rsidR="00011D29" w:rsidRPr="00217CA0">
        <w:rPr>
          <w:rFonts w:eastAsia="Arial"/>
          <w:spacing w:val="-1"/>
          <w:szCs w:val="24"/>
        </w:rPr>
        <w:t>l</w:t>
      </w:r>
      <w:r w:rsidR="00011D29" w:rsidRPr="00217CA0">
        <w:rPr>
          <w:rFonts w:eastAsia="Arial"/>
          <w:szCs w:val="24"/>
        </w:rPr>
        <w:t>t</w:t>
      </w:r>
      <w:r w:rsidR="00011D29" w:rsidRPr="00217CA0">
        <w:rPr>
          <w:rFonts w:eastAsia="Arial"/>
          <w:spacing w:val="36"/>
          <w:szCs w:val="24"/>
        </w:rPr>
        <w:t xml:space="preserve"> </w:t>
      </w:r>
      <w:r w:rsidR="00011D29" w:rsidRPr="00217CA0">
        <w:rPr>
          <w:rFonts w:eastAsia="Arial"/>
          <w:spacing w:val="-2"/>
          <w:szCs w:val="24"/>
        </w:rPr>
        <w:t>a</w:t>
      </w:r>
      <w:r w:rsidR="00011D29" w:rsidRPr="00217CA0">
        <w:rPr>
          <w:rFonts w:eastAsia="Arial"/>
          <w:szCs w:val="24"/>
        </w:rPr>
        <w:t>nd</w:t>
      </w:r>
      <w:r w:rsidR="00011D29" w:rsidRPr="00217CA0">
        <w:rPr>
          <w:rFonts w:eastAsia="Arial"/>
          <w:spacing w:val="39"/>
          <w:szCs w:val="24"/>
        </w:rPr>
        <w:t xml:space="preserve"> </w:t>
      </w:r>
      <w:r w:rsidR="00011D29" w:rsidRPr="00217CA0">
        <w:rPr>
          <w:rFonts w:eastAsia="Arial"/>
          <w:spacing w:val="-3"/>
          <w:szCs w:val="24"/>
        </w:rPr>
        <w:t>c</w:t>
      </w:r>
      <w:r w:rsidR="00011D29" w:rsidRPr="00217CA0">
        <w:rPr>
          <w:rFonts w:eastAsia="Arial"/>
          <w:szCs w:val="24"/>
        </w:rPr>
        <w:t>ultural</w:t>
      </w:r>
      <w:r w:rsidR="00011D29" w:rsidRPr="00217CA0">
        <w:rPr>
          <w:rFonts w:eastAsia="Arial"/>
          <w:spacing w:val="36"/>
          <w:szCs w:val="24"/>
        </w:rPr>
        <w:t xml:space="preserve"> </w:t>
      </w:r>
      <w:proofErr w:type="gramStart"/>
      <w:r w:rsidR="00011D29" w:rsidRPr="00217CA0">
        <w:rPr>
          <w:rFonts w:eastAsia="Arial"/>
          <w:szCs w:val="24"/>
        </w:rPr>
        <w:t>her</w:t>
      </w:r>
      <w:r w:rsidR="00011D29" w:rsidRPr="00217CA0">
        <w:rPr>
          <w:rFonts w:eastAsia="Arial"/>
          <w:spacing w:val="-2"/>
          <w:szCs w:val="24"/>
        </w:rPr>
        <w:t>i</w:t>
      </w:r>
      <w:r w:rsidR="00011D29" w:rsidRPr="00217CA0">
        <w:rPr>
          <w:rFonts w:eastAsia="Arial"/>
          <w:szCs w:val="24"/>
        </w:rPr>
        <w:t>t</w:t>
      </w:r>
      <w:r w:rsidR="00011D29" w:rsidRPr="00217CA0">
        <w:rPr>
          <w:rFonts w:eastAsia="Arial"/>
          <w:spacing w:val="1"/>
          <w:szCs w:val="24"/>
        </w:rPr>
        <w:t>a</w:t>
      </w:r>
      <w:r w:rsidR="00011D29" w:rsidRPr="00217CA0">
        <w:rPr>
          <w:rFonts w:eastAsia="Arial"/>
          <w:spacing w:val="-2"/>
          <w:szCs w:val="24"/>
        </w:rPr>
        <w:t>g</w:t>
      </w:r>
      <w:r w:rsidR="00011D29" w:rsidRPr="00217CA0">
        <w:rPr>
          <w:rFonts w:eastAsia="Arial"/>
          <w:szCs w:val="24"/>
        </w:rPr>
        <w:t>e</w:t>
      </w:r>
      <w:proofErr w:type="gramEnd"/>
      <w:r w:rsidR="00011D29" w:rsidRPr="00217CA0">
        <w:rPr>
          <w:rFonts w:eastAsia="Arial"/>
          <w:spacing w:val="36"/>
          <w:szCs w:val="24"/>
        </w:rPr>
        <w:t xml:space="preserve"> </w:t>
      </w:r>
      <w:r w:rsidR="00011D29" w:rsidRPr="00217CA0">
        <w:rPr>
          <w:rFonts w:eastAsia="Arial"/>
          <w:spacing w:val="-2"/>
          <w:szCs w:val="24"/>
        </w:rPr>
        <w:t>a</w:t>
      </w:r>
      <w:r w:rsidR="00011D29" w:rsidRPr="00217CA0">
        <w:rPr>
          <w:rFonts w:eastAsia="Arial"/>
          <w:szCs w:val="24"/>
        </w:rPr>
        <w:t>nd</w:t>
      </w:r>
      <w:r w:rsidR="00011D29" w:rsidRPr="00217CA0">
        <w:rPr>
          <w:rFonts w:eastAsia="Arial"/>
          <w:spacing w:val="39"/>
          <w:szCs w:val="24"/>
        </w:rPr>
        <w:t xml:space="preserve"> </w:t>
      </w:r>
      <w:r w:rsidR="00011D29" w:rsidRPr="00217CA0">
        <w:rPr>
          <w:rFonts w:eastAsia="Arial"/>
          <w:szCs w:val="24"/>
        </w:rPr>
        <w:t>its conser</w:t>
      </w:r>
      <w:r w:rsidR="00011D29" w:rsidRPr="00217CA0">
        <w:rPr>
          <w:rFonts w:eastAsia="Arial"/>
          <w:spacing w:val="-4"/>
          <w:szCs w:val="24"/>
        </w:rPr>
        <w:t>v</w:t>
      </w:r>
      <w:r w:rsidR="00011D29" w:rsidRPr="00217CA0">
        <w:rPr>
          <w:rFonts w:eastAsia="Arial"/>
          <w:szCs w:val="24"/>
        </w:rPr>
        <w:t>ation</w:t>
      </w:r>
      <w:r w:rsidR="00011D29" w:rsidRPr="00217CA0">
        <w:rPr>
          <w:rFonts w:eastAsia="Arial"/>
          <w:spacing w:val="48"/>
          <w:szCs w:val="24"/>
        </w:rPr>
        <w:t xml:space="preserve"> </w:t>
      </w:r>
      <w:r w:rsidR="00011D29" w:rsidRPr="00217CA0">
        <w:rPr>
          <w:rFonts w:eastAsia="Arial"/>
          <w:szCs w:val="24"/>
        </w:rPr>
        <w:t>is</w:t>
      </w:r>
      <w:r w:rsidR="00011D29" w:rsidRPr="00217CA0">
        <w:rPr>
          <w:rFonts w:eastAsia="Arial"/>
          <w:spacing w:val="48"/>
          <w:szCs w:val="24"/>
        </w:rPr>
        <w:t xml:space="preserve"> </w:t>
      </w:r>
      <w:r w:rsidR="00011D29" w:rsidRPr="00217CA0">
        <w:rPr>
          <w:rFonts w:eastAsia="Arial"/>
          <w:szCs w:val="24"/>
        </w:rPr>
        <w:t>key</w:t>
      </w:r>
      <w:r w:rsidR="00011D29" w:rsidRPr="00217CA0">
        <w:rPr>
          <w:rFonts w:eastAsia="Arial"/>
          <w:spacing w:val="46"/>
          <w:szCs w:val="24"/>
        </w:rPr>
        <w:t xml:space="preserve"> </w:t>
      </w:r>
      <w:r w:rsidR="00011D29" w:rsidRPr="00217CA0">
        <w:rPr>
          <w:rFonts w:eastAsia="Arial"/>
          <w:szCs w:val="24"/>
        </w:rPr>
        <w:t>to</w:t>
      </w:r>
      <w:r w:rsidR="00011D29" w:rsidRPr="00217CA0">
        <w:rPr>
          <w:rFonts w:eastAsia="Arial"/>
          <w:spacing w:val="46"/>
          <w:szCs w:val="24"/>
        </w:rPr>
        <w:t xml:space="preserve"> </w:t>
      </w:r>
      <w:r w:rsidR="00011D29" w:rsidRPr="00217CA0">
        <w:rPr>
          <w:rFonts w:eastAsia="Arial"/>
          <w:szCs w:val="24"/>
        </w:rPr>
        <w:t>t</w:t>
      </w:r>
      <w:r w:rsidR="00011D29" w:rsidRPr="00217CA0">
        <w:rPr>
          <w:rFonts w:eastAsia="Arial"/>
          <w:spacing w:val="1"/>
          <w:szCs w:val="24"/>
        </w:rPr>
        <w:t>h</w:t>
      </w:r>
      <w:r w:rsidR="00011D29" w:rsidRPr="00217CA0">
        <w:rPr>
          <w:rFonts w:eastAsia="Arial"/>
          <w:szCs w:val="24"/>
        </w:rPr>
        <w:t>e</w:t>
      </w:r>
      <w:r w:rsidR="00011D29" w:rsidRPr="00217CA0">
        <w:rPr>
          <w:rFonts w:eastAsia="Arial"/>
          <w:spacing w:val="49"/>
          <w:szCs w:val="24"/>
        </w:rPr>
        <w:t xml:space="preserve"> </w:t>
      </w:r>
      <w:r w:rsidR="00011D29" w:rsidRPr="00217CA0">
        <w:rPr>
          <w:rFonts w:eastAsia="Arial"/>
          <w:spacing w:val="-2"/>
          <w:szCs w:val="24"/>
        </w:rPr>
        <w:t>d</w:t>
      </w:r>
      <w:r w:rsidR="00011D29" w:rsidRPr="00217CA0">
        <w:rPr>
          <w:rFonts w:eastAsia="Arial"/>
          <w:szCs w:val="24"/>
        </w:rPr>
        <w:t>el</w:t>
      </w:r>
      <w:r w:rsidR="00011D29" w:rsidRPr="00217CA0">
        <w:rPr>
          <w:rFonts w:eastAsia="Arial"/>
          <w:spacing w:val="-1"/>
          <w:szCs w:val="24"/>
        </w:rPr>
        <w:t>i</w:t>
      </w:r>
      <w:r w:rsidR="00011D29" w:rsidRPr="00217CA0">
        <w:rPr>
          <w:rFonts w:eastAsia="Arial"/>
          <w:spacing w:val="-3"/>
          <w:szCs w:val="24"/>
        </w:rPr>
        <w:t>v</w:t>
      </w:r>
      <w:r w:rsidR="00011D29" w:rsidRPr="00217CA0">
        <w:rPr>
          <w:rFonts w:eastAsia="Arial"/>
          <w:szCs w:val="24"/>
        </w:rPr>
        <w:t>e</w:t>
      </w:r>
      <w:r w:rsidR="00011D29" w:rsidRPr="00217CA0">
        <w:rPr>
          <w:rFonts w:eastAsia="Arial"/>
          <w:spacing w:val="1"/>
          <w:szCs w:val="24"/>
        </w:rPr>
        <w:t>r</w:t>
      </w:r>
      <w:r w:rsidR="00011D29" w:rsidRPr="00217CA0">
        <w:rPr>
          <w:rFonts w:eastAsia="Arial"/>
          <w:szCs w:val="24"/>
        </w:rPr>
        <w:t>y</w:t>
      </w:r>
      <w:r w:rsidR="00011D29" w:rsidRPr="00217CA0">
        <w:rPr>
          <w:rFonts w:eastAsia="Arial"/>
          <w:spacing w:val="46"/>
          <w:szCs w:val="24"/>
        </w:rPr>
        <w:t xml:space="preserve"> </w:t>
      </w:r>
      <w:r w:rsidR="00011D29" w:rsidRPr="00217CA0">
        <w:rPr>
          <w:rFonts w:eastAsia="Arial"/>
          <w:szCs w:val="24"/>
        </w:rPr>
        <w:t>of</w:t>
      </w:r>
      <w:r w:rsidR="00011D29" w:rsidRPr="00217CA0">
        <w:rPr>
          <w:rFonts w:eastAsia="Arial"/>
          <w:spacing w:val="51"/>
          <w:szCs w:val="24"/>
        </w:rPr>
        <w:t xml:space="preserve"> </w:t>
      </w:r>
      <w:r w:rsidR="00011D29" w:rsidRPr="00217CA0">
        <w:rPr>
          <w:rFonts w:eastAsia="Arial"/>
          <w:spacing w:val="-2"/>
          <w:szCs w:val="24"/>
        </w:rPr>
        <w:t>t</w:t>
      </w:r>
      <w:r w:rsidR="00011D29" w:rsidRPr="00217CA0">
        <w:rPr>
          <w:rFonts w:eastAsia="Arial"/>
          <w:szCs w:val="24"/>
        </w:rPr>
        <w:t>he</w:t>
      </w:r>
      <w:r w:rsidR="00011D29" w:rsidRPr="00217CA0">
        <w:rPr>
          <w:rFonts w:eastAsia="Arial"/>
          <w:spacing w:val="45"/>
          <w:szCs w:val="24"/>
        </w:rPr>
        <w:t xml:space="preserve"> </w:t>
      </w:r>
      <w:r w:rsidR="00011D29" w:rsidRPr="00217CA0">
        <w:rPr>
          <w:rFonts w:eastAsia="Arial"/>
          <w:spacing w:val="2"/>
          <w:szCs w:val="24"/>
        </w:rPr>
        <w:t>f</w:t>
      </w:r>
      <w:r w:rsidR="00011D29" w:rsidRPr="00217CA0">
        <w:rPr>
          <w:rFonts w:eastAsia="Arial"/>
          <w:spacing w:val="-3"/>
          <w:szCs w:val="24"/>
        </w:rPr>
        <w:t>i</w:t>
      </w:r>
      <w:r w:rsidR="00011D29" w:rsidRPr="00217CA0">
        <w:rPr>
          <w:rFonts w:eastAsia="Arial"/>
          <w:szCs w:val="24"/>
        </w:rPr>
        <w:t>rst</w:t>
      </w:r>
      <w:r w:rsidR="00011D29" w:rsidRPr="00217CA0">
        <w:rPr>
          <w:rFonts w:eastAsia="Arial"/>
          <w:spacing w:val="48"/>
          <w:szCs w:val="24"/>
        </w:rPr>
        <w:t xml:space="preserve"> </w:t>
      </w:r>
      <w:r w:rsidR="00011D29" w:rsidRPr="00217CA0">
        <w:rPr>
          <w:rFonts w:eastAsia="Arial"/>
          <w:szCs w:val="24"/>
        </w:rPr>
        <w:t>st</w:t>
      </w:r>
      <w:r w:rsidR="00011D29" w:rsidRPr="00217CA0">
        <w:rPr>
          <w:rFonts w:eastAsia="Arial"/>
          <w:spacing w:val="1"/>
          <w:szCs w:val="24"/>
        </w:rPr>
        <w:t>a</w:t>
      </w:r>
      <w:r w:rsidR="00011D29" w:rsidRPr="00217CA0">
        <w:rPr>
          <w:rFonts w:eastAsia="Arial"/>
          <w:szCs w:val="24"/>
        </w:rPr>
        <w:t>t</w:t>
      </w:r>
      <w:r w:rsidR="00011D29" w:rsidRPr="00217CA0">
        <w:rPr>
          <w:rFonts w:eastAsia="Arial"/>
          <w:spacing w:val="1"/>
          <w:szCs w:val="24"/>
        </w:rPr>
        <w:t>u</w:t>
      </w:r>
      <w:r w:rsidR="00011D29" w:rsidRPr="00217CA0">
        <w:rPr>
          <w:rFonts w:eastAsia="Arial"/>
          <w:spacing w:val="-2"/>
          <w:szCs w:val="24"/>
        </w:rPr>
        <w:t>t</w:t>
      </w:r>
      <w:r w:rsidR="00011D29" w:rsidRPr="00217CA0">
        <w:rPr>
          <w:rFonts w:eastAsia="Arial"/>
          <w:szCs w:val="24"/>
        </w:rPr>
        <w:t>ory</w:t>
      </w:r>
      <w:r w:rsidR="00011D29" w:rsidRPr="00217CA0">
        <w:rPr>
          <w:rFonts w:eastAsia="Arial"/>
          <w:spacing w:val="45"/>
          <w:szCs w:val="24"/>
        </w:rPr>
        <w:t xml:space="preserve"> </w:t>
      </w:r>
      <w:r w:rsidR="00011D29" w:rsidRPr="00217CA0">
        <w:rPr>
          <w:rFonts w:eastAsia="Arial"/>
          <w:szCs w:val="24"/>
        </w:rPr>
        <w:t>Natio</w:t>
      </w:r>
      <w:r w:rsidR="00011D29" w:rsidRPr="00217CA0">
        <w:rPr>
          <w:rFonts w:eastAsia="Arial"/>
          <w:spacing w:val="1"/>
          <w:szCs w:val="24"/>
        </w:rPr>
        <w:t>n</w:t>
      </w:r>
      <w:r w:rsidR="00011D29" w:rsidRPr="00217CA0">
        <w:rPr>
          <w:rFonts w:eastAsia="Arial"/>
          <w:szCs w:val="24"/>
        </w:rPr>
        <w:t>al</w:t>
      </w:r>
      <w:r w:rsidR="00011D29" w:rsidRPr="00217CA0">
        <w:rPr>
          <w:rFonts w:eastAsia="Arial"/>
          <w:spacing w:val="47"/>
          <w:szCs w:val="24"/>
        </w:rPr>
        <w:t xml:space="preserve"> </w:t>
      </w:r>
      <w:r w:rsidR="00011D29" w:rsidRPr="00217CA0">
        <w:rPr>
          <w:rFonts w:eastAsia="Arial"/>
          <w:szCs w:val="24"/>
        </w:rPr>
        <w:t>Park purpo</w:t>
      </w:r>
      <w:r w:rsidR="00011D29" w:rsidRPr="00217CA0">
        <w:rPr>
          <w:rFonts w:eastAsia="Arial"/>
          <w:spacing w:val="-3"/>
          <w:szCs w:val="24"/>
        </w:rPr>
        <w:t>s</w:t>
      </w:r>
      <w:r w:rsidR="00011D29" w:rsidRPr="00217CA0">
        <w:rPr>
          <w:rFonts w:eastAsia="Arial"/>
          <w:szCs w:val="24"/>
        </w:rPr>
        <w:t>e.</w:t>
      </w:r>
    </w:p>
    <w:p w14:paraId="6D4FE9C2" w14:textId="355D1050" w:rsidR="00011D29" w:rsidRPr="00217CA0" w:rsidRDefault="00011D29" w:rsidP="00E56B51">
      <w:pPr>
        <w:spacing w:after="160" w:line="259" w:lineRule="auto"/>
        <w:rPr>
          <w:szCs w:val="24"/>
        </w:rPr>
      </w:pPr>
    </w:p>
    <w:p w14:paraId="2DC7BBA7" w14:textId="77777777" w:rsidR="00011D29" w:rsidRPr="00217CA0" w:rsidRDefault="00011D29" w:rsidP="00011D29">
      <w:pPr>
        <w:widowControl w:val="0"/>
        <w:numPr>
          <w:ilvl w:val="2"/>
          <w:numId w:val="17"/>
        </w:numPr>
        <w:ind w:left="1276" w:right="120" w:hanging="567"/>
        <w:rPr>
          <w:rFonts w:eastAsia="Arial"/>
          <w:szCs w:val="24"/>
        </w:rPr>
      </w:pPr>
      <w:r w:rsidRPr="00217CA0">
        <w:rPr>
          <w:rFonts w:eastAsia="Arial"/>
          <w:i/>
          <w:szCs w:val="24"/>
        </w:rPr>
        <w:t>Deliver</w:t>
      </w:r>
      <w:r w:rsidRPr="00217CA0">
        <w:rPr>
          <w:rFonts w:eastAsia="Arial"/>
          <w:i/>
          <w:spacing w:val="-1"/>
          <w:szCs w:val="24"/>
        </w:rPr>
        <w:t>i</w:t>
      </w:r>
      <w:r w:rsidRPr="00217CA0">
        <w:rPr>
          <w:rFonts w:eastAsia="Arial"/>
          <w:i/>
          <w:szCs w:val="24"/>
        </w:rPr>
        <w:t>ng</w:t>
      </w:r>
      <w:r w:rsidRPr="00217CA0">
        <w:rPr>
          <w:rFonts w:eastAsia="Arial"/>
          <w:i/>
          <w:spacing w:val="32"/>
          <w:szCs w:val="24"/>
        </w:rPr>
        <w:t xml:space="preserve"> </w:t>
      </w:r>
      <w:r w:rsidRPr="00217CA0">
        <w:rPr>
          <w:rFonts w:eastAsia="Arial"/>
          <w:i/>
          <w:szCs w:val="24"/>
        </w:rPr>
        <w:t>n</w:t>
      </w:r>
      <w:r w:rsidRPr="00217CA0">
        <w:rPr>
          <w:rFonts w:eastAsia="Arial"/>
          <w:i/>
          <w:spacing w:val="-2"/>
          <w:szCs w:val="24"/>
        </w:rPr>
        <w:t>e</w:t>
      </w:r>
      <w:r w:rsidRPr="00217CA0">
        <w:rPr>
          <w:rFonts w:eastAsia="Arial"/>
          <w:i/>
          <w:szCs w:val="24"/>
        </w:rPr>
        <w:t>w</w:t>
      </w:r>
      <w:r w:rsidRPr="00217CA0">
        <w:rPr>
          <w:rFonts w:eastAsia="Arial"/>
          <w:i/>
          <w:spacing w:val="33"/>
          <w:szCs w:val="24"/>
        </w:rPr>
        <w:t xml:space="preserve"> </w:t>
      </w:r>
      <w:r w:rsidRPr="00217CA0">
        <w:rPr>
          <w:rFonts w:eastAsia="Arial"/>
          <w:i/>
          <w:spacing w:val="-2"/>
          <w:szCs w:val="24"/>
        </w:rPr>
        <w:t>h</w:t>
      </w:r>
      <w:r w:rsidRPr="00217CA0">
        <w:rPr>
          <w:rFonts w:eastAsia="Arial"/>
          <w:i/>
          <w:szCs w:val="24"/>
        </w:rPr>
        <w:t>ousi</w:t>
      </w:r>
      <w:r w:rsidRPr="00217CA0">
        <w:rPr>
          <w:rFonts w:eastAsia="Arial"/>
          <w:i/>
          <w:spacing w:val="-2"/>
          <w:szCs w:val="24"/>
        </w:rPr>
        <w:t>n</w:t>
      </w:r>
      <w:r w:rsidRPr="00217CA0">
        <w:rPr>
          <w:rFonts w:eastAsia="Arial"/>
          <w:i/>
          <w:szCs w:val="24"/>
        </w:rPr>
        <w:t>g</w:t>
      </w:r>
      <w:r w:rsidRPr="00217CA0">
        <w:rPr>
          <w:rFonts w:eastAsia="Arial"/>
          <w:i/>
          <w:spacing w:val="32"/>
          <w:szCs w:val="24"/>
        </w:rPr>
        <w:t xml:space="preserve"> </w:t>
      </w:r>
      <w:r w:rsidRPr="00217CA0">
        <w:rPr>
          <w:rFonts w:eastAsia="Arial"/>
          <w:i/>
          <w:szCs w:val="24"/>
        </w:rPr>
        <w:t>to</w:t>
      </w:r>
      <w:r w:rsidRPr="00217CA0">
        <w:rPr>
          <w:rFonts w:eastAsia="Arial"/>
          <w:i/>
          <w:spacing w:val="30"/>
          <w:szCs w:val="24"/>
        </w:rPr>
        <w:t xml:space="preserve"> </w:t>
      </w:r>
      <w:r w:rsidRPr="00217CA0">
        <w:rPr>
          <w:rFonts w:eastAsia="Arial"/>
          <w:i/>
          <w:szCs w:val="24"/>
        </w:rPr>
        <w:t>help</w:t>
      </w:r>
      <w:r w:rsidRPr="00217CA0">
        <w:rPr>
          <w:rFonts w:eastAsia="Arial"/>
          <w:i/>
          <w:spacing w:val="29"/>
          <w:szCs w:val="24"/>
        </w:rPr>
        <w:t xml:space="preserve"> </w:t>
      </w:r>
      <w:r w:rsidRPr="00217CA0">
        <w:rPr>
          <w:rFonts w:eastAsia="Arial"/>
          <w:i/>
          <w:szCs w:val="24"/>
        </w:rPr>
        <w:t>address</w:t>
      </w:r>
      <w:r w:rsidRPr="00217CA0">
        <w:rPr>
          <w:rFonts w:eastAsia="Arial"/>
          <w:i/>
          <w:spacing w:val="29"/>
          <w:szCs w:val="24"/>
        </w:rPr>
        <w:t xml:space="preserve"> </w:t>
      </w:r>
      <w:r w:rsidRPr="00217CA0">
        <w:rPr>
          <w:rFonts w:eastAsia="Arial"/>
          <w:i/>
          <w:szCs w:val="24"/>
        </w:rPr>
        <w:t>lo</w:t>
      </w:r>
      <w:r w:rsidRPr="00217CA0">
        <w:rPr>
          <w:rFonts w:eastAsia="Arial"/>
          <w:i/>
          <w:spacing w:val="-2"/>
          <w:szCs w:val="24"/>
        </w:rPr>
        <w:t>c</w:t>
      </w:r>
      <w:r w:rsidRPr="00217CA0">
        <w:rPr>
          <w:rFonts w:eastAsia="Arial"/>
          <w:i/>
          <w:szCs w:val="24"/>
        </w:rPr>
        <w:t>al</w:t>
      </w:r>
      <w:r w:rsidRPr="00217CA0">
        <w:rPr>
          <w:rFonts w:eastAsia="Arial"/>
          <w:i/>
          <w:spacing w:val="30"/>
          <w:szCs w:val="24"/>
        </w:rPr>
        <w:t xml:space="preserve"> </w:t>
      </w:r>
      <w:r w:rsidRPr="00217CA0">
        <w:rPr>
          <w:rFonts w:eastAsia="Arial"/>
          <w:i/>
          <w:szCs w:val="24"/>
        </w:rPr>
        <w:t>ne</w:t>
      </w:r>
      <w:r w:rsidRPr="00217CA0">
        <w:rPr>
          <w:rFonts w:eastAsia="Arial"/>
          <w:i/>
          <w:spacing w:val="-2"/>
          <w:szCs w:val="24"/>
        </w:rPr>
        <w:t>e</w:t>
      </w:r>
      <w:r w:rsidRPr="00217CA0">
        <w:rPr>
          <w:rFonts w:eastAsia="Arial"/>
          <w:i/>
          <w:szCs w:val="24"/>
        </w:rPr>
        <w:t>ds</w:t>
      </w:r>
      <w:r w:rsidRPr="00217CA0">
        <w:rPr>
          <w:rFonts w:eastAsia="Arial"/>
          <w:i/>
          <w:spacing w:val="29"/>
          <w:szCs w:val="24"/>
        </w:rPr>
        <w:t xml:space="preserve"> </w:t>
      </w:r>
      <w:r w:rsidRPr="00217CA0">
        <w:rPr>
          <w:rFonts w:eastAsia="Arial"/>
          <w:i/>
          <w:spacing w:val="1"/>
          <w:szCs w:val="24"/>
        </w:rPr>
        <w:t>w</w:t>
      </w:r>
      <w:r w:rsidRPr="00217CA0">
        <w:rPr>
          <w:rFonts w:eastAsia="Arial"/>
          <w:i/>
          <w:szCs w:val="24"/>
        </w:rPr>
        <w:t>hi</w:t>
      </w:r>
      <w:r w:rsidRPr="00217CA0">
        <w:rPr>
          <w:rFonts w:eastAsia="Arial"/>
          <w:i/>
          <w:spacing w:val="-1"/>
          <w:szCs w:val="24"/>
        </w:rPr>
        <w:t>l</w:t>
      </w:r>
      <w:r w:rsidRPr="00217CA0">
        <w:rPr>
          <w:rFonts w:eastAsia="Arial"/>
          <w:i/>
          <w:szCs w:val="24"/>
        </w:rPr>
        <w:t>e</w:t>
      </w:r>
      <w:r w:rsidRPr="00217CA0">
        <w:rPr>
          <w:rFonts w:eastAsia="Arial"/>
          <w:i/>
          <w:spacing w:val="29"/>
          <w:szCs w:val="24"/>
        </w:rPr>
        <w:t xml:space="preserve"> </w:t>
      </w:r>
      <w:r w:rsidRPr="00217CA0">
        <w:rPr>
          <w:rFonts w:eastAsia="Arial"/>
          <w:i/>
          <w:szCs w:val="24"/>
        </w:rPr>
        <w:t>at</w:t>
      </w:r>
      <w:r w:rsidRPr="00217CA0">
        <w:rPr>
          <w:rFonts w:eastAsia="Arial"/>
          <w:i/>
          <w:spacing w:val="31"/>
          <w:szCs w:val="24"/>
        </w:rPr>
        <w:t xml:space="preserve"> </w:t>
      </w:r>
      <w:r w:rsidRPr="00217CA0">
        <w:rPr>
          <w:rFonts w:eastAsia="Arial"/>
          <w:i/>
          <w:szCs w:val="24"/>
        </w:rPr>
        <w:t>t</w:t>
      </w:r>
      <w:r w:rsidRPr="00217CA0">
        <w:rPr>
          <w:rFonts w:eastAsia="Arial"/>
          <w:i/>
          <w:spacing w:val="-1"/>
          <w:szCs w:val="24"/>
        </w:rPr>
        <w:t>h</w:t>
      </w:r>
      <w:r w:rsidRPr="00217CA0">
        <w:rPr>
          <w:rFonts w:eastAsia="Arial"/>
          <w:i/>
          <w:szCs w:val="24"/>
        </w:rPr>
        <w:t>e</w:t>
      </w:r>
      <w:r w:rsidRPr="00217CA0">
        <w:rPr>
          <w:rFonts w:eastAsia="Arial"/>
          <w:i/>
          <w:spacing w:val="29"/>
          <w:szCs w:val="24"/>
        </w:rPr>
        <w:t xml:space="preserve"> </w:t>
      </w:r>
      <w:r w:rsidRPr="00217CA0">
        <w:rPr>
          <w:rFonts w:eastAsia="Arial"/>
          <w:i/>
          <w:szCs w:val="24"/>
        </w:rPr>
        <w:t>sa</w:t>
      </w:r>
      <w:r w:rsidRPr="00217CA0">
        <w:rPr>
          <w:rFonts w:eastAsia="Arial"/>
          <w:i/>
          <w:spacing w:val="-4"/>
          <w:szCs w:val="24"/>
        </w:rPr>
        <w:t>m</w:t>
      </w:r>
      <w:r w:rsidRPr="00217CA0">
        <w:rPr>
          <w:rFonts w:eastAsia="Arial"/>
          <w:i/>
          <w:szCs w:val="24"/>
        </w:rPr>
        <w:t>e ti</w:t>
      </w:r>
      <w:r w:rsidRPr="00217CA0">
        <w:rPr>
          <w:rFonts w:eastAsia="Arial"/>
          <w:i/>
          <w:spacing w:val="-4"/>
          <w:szCs w:val="24"/>
        </w:rPr>
        <w:t>m</w:t>
      </w:r>
      <w:r w:rsidRPr="00217CA0">
        <w:rPr>
          <w:rFonts w:eastAsia="Arial"/>
          <w:i/>
          <w:szCs w:val="24"/>
        </w:rPr>
        <w:t>e</w:t>
      </w:r>
      <w:r w:rsidRPr="00217CA0">
        <w:rPr>
          <w:rFonts w:eastAsia="Arial"/>
          <w:i/>
          <w:spacing w:val="10"/>
          <w:szCs w:val="24"/>
        </w:rPr>
        <w:t xml:space="preserve"> </w:t>
      </w:r>
      <w:r w:rsidRPr="00217CA0">
        <w:rPr>
          <w:rFonts w:eastAsia="Arial"/>
          <w:i/>
          <w:szCs w:val="24"/>
        </w:rPr>
        <w:t>ensur</w:t>
      </w:r>
      <w:r w:rsidRPr="00217CA0">
        <w:rPr>
          <w:rFonts w:eastAsia="Arial"/>
          <w:i/>
          <w:spacing w:val="-2"/>
          <w:szCs w:val="24"/>
        </w:rPr>
        <w:t>i</w:t>
      </w:r>
      <w:r w:rsidRPr="00217CA0">
        <w:rPr>
          <w:rFonts w:eastAsia="Arial"/>
          <w:i/>
          <w:szCs w:val="24"/>
        </w:rPr>
        <w:t>ng</w:t>
      </w:r>
      <w:r w:rsidRPr="00217CA0">
        <w:rPr>
          <w:rFonts w:eastAsia="Arial"/>
          <w:i/>
          <w:spacing w:val="10"/>
          <w:szCs w:val="24"/>
        </w:rPr>
        <w:t xml:space="preserve"> </w:t>
      </w:r>
      <w:r w:rsidRPr="00217CA0">
        <w:rPr>
          <w:rFonts w:eastAsia="Arial"/>
          <w:i/>
          <w:szCs w:val="24"/>
        </w:rPr>
        <w:t>devel</w:t>
      </w:r>
      <w:r w:rsidRPr="00217CA0">
        <w:rPr>
          <w:rFonts w:eastAsia="Arial"/>
          <w:i/>
          <w:spacing w:val="-2"/>
          <w:szCs w:val="24"/>
        </w:rPr>
        <w:t>op</w:t>
      </w:r>
      <w:r w:rsidRPr="00217CA0">
        <w:rPr>
          <w:rFonts w:eastAsia="Arial"/>
          <w:i/>
          <w:spacing w:val="-4"/>
          <w:szCs w:val="24"/>
        </w:rPr>
        <w:t>m</w:t>
      </w:r>
      <w:r w:rsidRPr="00217CA0">
        <w:rPr>
          <w:rFonts w:eastAsia="Arial"/>
          <w:i/>
          <w:szCs w:val="24"/>
        </w:rPr>
        <w:t>ent</w:t>
      </w:r>
      <w:r w:rsidRPr="00217CA0">
        <w:rPr>
          <w:rFonts w:eastAsia="Arial"/>
          <w:i/>
          <w:spacing w:val="10"/>
          <w:szCs w:val="24"/>
        </w:rPr>
        <w:t xml:space="preserve"> </w:t>
      </w:r>
      <w:r w:rsidRPr="00217CA0">
        <w:rPr>
          <w:rFonts w:eastAsia="Arial"/>
          <w:i/>
          <w:szCs w:val="24"/>
        </w:rPr>
        <w:t>does</w:t>
      </w:r>
      <w:r w:rsidRPr="00217CA0">
        <w:rPr>
          <w:rFonts w:eastAsia="Arial"/>
          <w:i/>
          <w:spacing w:val="9"/>
          <w:szCs w:val="24"/>
        </w:rPr>
        <w:t xml:space="preserve"> </w:t>
      </w:r>
      <w:r w:rsidRPr="00217CA0">
        <w:rPr>
          <w:rFonts w:eastAsia="Arial"/>
          <w:i/>
          <w:szCs w:val="24"/>
        </w:rPr>
        <w:t>not</w:t>
      </w:r>
      <w:r w:rsidRPr="00217CA0">
        <w:rPr>
          <w:rFonts w:eastAsia="Arial"/>
          <w:i/>
          <w:spacing w:val="10"/>
          <w:szCs w:val="24"/>
        </w:rPr>
        <w:t xml:space="preserve"> </w:t>
      </w:r>
      <w:r w:rsidRPr="00217CA0">
        <w:rPr>
          <w:rFonts w:eastAsia="Arial"/>
          <w:i/>
          <w:spacing w:val="-3"/>
          <w:szCs w:val="24"/>
        </w:rPr>
        <w:t>c</w:t>
      </w:r>
      <w:r w:rsidRPr="00217CA0">
        <w:rPr>
          <w:rFonts w:eastAsia="Arial"/>
          <w:i/>
          <w:szCs w:val="24"/>
        </w:rPr>
        <w:t>o</w:t>
      </w:r>
      <w:r w:rsidRPr="00217CA0">
        <w:rPr>
          <w:rFonts w:eastAsia="Arial"/>
          <w:i/>
          <w:spacing w:val="-4"/>
          <w:szCs w:val="24"/>
        </w:rPr>
        <w:t>m</w:t>
      </w:r>
      <w:r w:rsidRPr="00217CA0">
        <w:rPr>
          <w:rFonts w:eastAsia="Arial"/>
          <w:i/>
          <w:spacing w:val="7"/>
          <w:szCs w:val="24"/>
        </w:rPr>
        <w:t>p</w:t>
      </w:r>
      <w:r w:rsidRPr="00217CA0">
        <w:rPr>
          <w:rFonts w:eastAsia="Arial"/>
          <w:i/>
          <w:szCs w:val="24"/>
        </w:rPr>
        <w:t>rom</w:t>
      </w:r>
      <w:r w:rsidRPr="00217CA0">
        <w:rPr>
          <w:rFonts w:eastAsia="Arial"/>
          <w:i/>
          <w:spacing w:val="-1"/>
          <w:szCs w:val="24"/>
        </w:rPr>
        <w:t>i</w:t>
      </w:r>
      <w:r w:rsidRPr="00217CA0">
        <w:rPr>
          <w:rFonts w:eastAsia="Arial"/>
          <w:i/>
          <w:szCs w:val="24"/>
        </w:rPr>
        <w:t>se</w:t>
      </w:r>
      <w:r w:rsidRPr="00217CA0">
        <w:rPr>
          <w:rFonts w:eastAsia="Arial"/>
          <w:i/>
          <w:spacing w:val="10"/>
          <w:szCs w:val="24"/>
        </w:rPr>
        <w:t xml:space="preserve"> </w:t>
      </w:r>
      <w:r w:rsidRPr="00217CA0">
        <w:rPr>
          <w:rFonts w:eastAsia="Arial"/>
          <w:i/>
          <w:szCs w:val="24"/>
        </w:rPr>
        <w:t>t</w:t>
      </w:r>
      <w:r w:rsidRPr="00217CA0">
        <w:rPr>
          <w:rFonts w:eastAsia="Arial"/>
          <w:i/>
          <w:spacing w:val="1"/>
          <w:szCs w:val="24"/>
        </w:rPr>
        <w:t>h</w:t>
      </w:r>
      <w:r w:rsidRPr="00217CA0">
        <w:rPr>
          <w:rFonts w:eastAsia="Arial"/>
          <w:i/>
          <w:szCs w:val="24"/>
        </w:rPr>
        <w:t>e</w:t>
      </w:r>
      <w:r w:rsidRPr="00217CA0">
        <w:rPr>
          <w:rFonts w:eastAsia="Arial"/>
          <w:i/>
          <w:spacing w:val="10"/>
          <w:szCs w:val="24"/>
        </w:rPr>
        <w:t xml:space="preserve"> </w:t>
      </w:r>
      <w:r w:rsidRPr="00217CA0">
        <w:rPr>
          <w:rFonts w:eastAsia="Arial"/>
          <w:i/>
          <w:szCs w:val="24"/>
        </w:rPr>
        <w:t>del</w:t>
      </w:r>
      <w:r w:rsidRPr="00217CA0">
        <w:rPr>
          <w:rFonts w:eastAsia="Arial"/>
          <w:i/>
          <w:spacing w:val="-1"/>
          <w:szCs w:val="24"/>
        </w:rPr>
        <w:t>i</w:t>
      </w:r>
      <w:r w:rsidRPr="00217CA0">
        <w:rPr>
          <w:rFonts w:eastAsia="Arial"/>
          <w:i/>
          <w:szCs w:val="24"/>
        </w:rPr>
        <w:t>very</w:t>
      </w:r>
      <w:r w:rsidRPr="00217CA0">
        <w:rPr>
          <w:rFonts w:eastAsia="Arial"/>
          <w:i/>
          <w:spacing w:val="9"/>
          <w:szCs w:val="24"/>
        </w:rPr>
        <w:t xml:space="preserve"> </w:t>
      </w:r>
      <w:r w:rsidRPr="00217CA0">
        <w:rPr>
          <w:rFonts w:eastAsia="Arial"/>
          <w:i/>
          <w:szCs w:val="24"/>
        </w:rPr>
        <w:t>of</w:t>
      </w:r>
      <w:r w:rsidRPr="00217CA0">
        <w:rPr>
          <w:rFonts w:eastAsia="Arial"/>
          <w:i/>
          <w:spacing w:val="10"/>
          <w:szCs w:val="24"/>
        </w:rPr>
        <w:t xml:space="preserve"> </w:t>
      </w:r>
      <w:r w:rsidRPr="00217CA0">
        <w:rPr>
          <w:rFonts w:eastAsia="Arial"/>
          <w:i/>
          <w:spacing w:val="-2"/>
          <w:szCs w:val="24"/>
        </w:rPr>
        <w:t>th</w:t>
      </w:r>
      <w:r w:rsidRPr="00217CA0">
        <w:rPr>
          <w:rFonts w:eastAsia="Arial"/>
          <w:i/>
          <w:szCs w:val="24"/>
        </w:rPr>
        <w:t>e</w:t>
      </w:r>
      <w:r w:rsidRPr="00217CA0">
        <w:rPr>
          <w:rFonts w:eastAsia="Arial"/>
          <w:i/>
          <w:spacing w:val="10"/>
          <w:szCs w:val="24"/>
        </w:rPr>
        <w:t xml:space="preserve"> </w:t>
      </w:r>
      <w:r w:rsidRPr="00217CA0">
        <w:rPr>
          <w:rFonts w:eastAsia="Arial"/>
          <w:i/>
          <w:szCs w:val="24"/>
        </w:rPr>
        <w:t>two st</w:t>
      </w:r>
      <w:r w:rsidRPr="00217CA0">
        <w:rPr>
          <w:rFonts w:eastAsia="Arial"/>
          <w:i/>
          <w:spacing w:val="1"/>
          <w:szCs w:val="24"/>
        </w:rPr>
        <w:t>a</w:t>
      </w:r>
      <w:r w:rsidRPr="00217CA0">
        <w:rPr>
          <w:rFonts w:eastAsia="Arial"/>
          <w:i/>
          <w:szCs w:val="24"/>
        </w:rPr>
        <w:t>t</w:t>
      </w:r>
      <w:r w:rsidRPr="00217CA0">
        <w:rPr>
          <w:rFonts w:eastAsia="Arial"/>
          <w:i/>
          <w:spacing w:val="1"/>
          <w:szCs w:val="24"/>
        </w:rPr>
        <w:t>u</w:t>
      </w:r>
      <w:r w:rsidRPr="00217CA0">
        <w:rPr>
          <w:rFonts w:eastAsia="Arial"/>
          <w:i/>
          <w:spacing w:val="-2"/>
          <w:szCs w:val="24"/>
        </w:rPr>
        <w:t>t</w:t>
      </w:r>
      <w:r w:rsidRPr="00217CA0">
        <w:rPr>
          <w:rFonts w:eastAsia="Arial"/>
          <w:i/>
          <w:szCs w:val="24"/>
        </w:rPr>
        <w:t>ory</w:t>
      </w:r>
      <w:r w:rsidRPr="00217CA0">
        <w:rPr>
          <w:rFonts w:eastAsia="Arial"/>
          <w:i/>
          <w:spacing w:val="33"/>
          <w:szCs w:val="24"/>
        </w:rPr>
        <w:t xml:space="preserve"> </w:t>
      </w:r>
      <w:r w:rsidRPr="00217CA0">
        <w:rPr>
          <w:rFonts w:eastAsia="Arial"/>
          <w:i/>
          <w:szCs w:val="24"/>
        </w:rPr>
        <w:t>Natio</w:t>
      </w:r>
      <w:r w:rsidRPr="00217CA0">
        <w:rPr>
          <w:rFonts w:eastAsia="Arial"/>
          <w:i/>
          <w:spacing w:val="1"/>
          <w:szCs w:val="24"/>
        </w:rPr>
        <w:t>n</w:t>
      </w:r>
      <w:r w:rsidRPr="00217CA0">
        <w:rPr>
          <w:rFonts w:eastAsia="Arial"/>
          <w:i/>
          <w:szCs w:val="24"/>
        </w:rPr>
        <w:t>al</w:t>
      </w:r>
      <w:r w:rsidRPr="00217CA0">
        <w:rPr>
          <w:rFonts w:eastAsia="Arial"/>
          <w:i/>
          <w:spacing w:val="32"/>
          <w:szCs w:val="24"/>
        </w:rPr>
        <w:t xml:space="preserve"> </w:t>
      </w:r>
      <w:r w:rsidRPr="00217CA0">
        <w:rPr>
          <w:rFonts w:eastAsia="Arial"/>
          <w:i/>
          <w:spacing w:val="-2"/>
          <w:szCs w:val="24"/>
        </w:rPr>
        <w:t>P</w:t>
      </w:r>
      <w:r w:rsidRPr="00217CA0">
        <w:rPr>
          <w:rFonts w:eastAsia="Arial"/>
          <w:i/>
          <w:szCs w:val="24"/>
        </w:rPr>
        <w:t>ark</w:t>
      </w:r>
      <w:r w:rsidRPr="00217CA0">
        <w:rPr>
          <w:rFonts w:eastAsia="Arial"/>
          <w:i/>
          <w:spacing w:val="33"/>
          <w:szCs w:val="24"/>
        </w:rPr>
        <w:t xml:space="preserve"> </w:t>
      </w:r>
      <w:r w:rsidRPr="00217CA0">
        <w:rPr>
          <w:rFonts w:eastAsia="Arial"/>
          <w:i/>
          <w:szCs w:val="24"/>
        </w:rPr>
        <w:t>purposes</w:t>
      </w:r>
      <w:r w:rsidRPr="00217CA0">
        <w:rPr>
          <w:rFonts w:eastAsia="Arial"/>
          <w:i/>
          <w:spacing w:val="38"/>
          <w:szCs w:val="24"/>
        </w:rPr>
        <w:t xml:space="preserve"> </w:t>
      </w:r>
      <w:r w:rsidRPr="00217CA0">
        <w:rPr>
          <w:rFonts w:eastAsia="Arial"/>
          <w:szCs w:val="24"/>
        </w:rPr>
        <w:t>–</w:t>
      </w:r>
      <w:r w:rsidRPr="00217CA0">
        <w:rPr>
          <w:rFonts w:eastAsia="Arial"/>
          <w:spacing w:val="35"/>
          <w:szCs w:val="24"/>
        </w:rPr>
        <w:t xml:space="preserve"> </w:t>
      </w:r>
      <w:r w:rsidRPr="00217CA0">
        <w:rPr>
          <w:rFonts w:eastAsia="Arial"/>
          <w:spacing w:val="-2"/>
          <w:szCs w:val="24"/>
        </w:rPr>
        <w:t>n</w:t>
      </w:r>
      <w:r w:rsidRPr="00217CA0">
        <w:rPr>
          <w:rFonts w:eastAsia="Arial"/>
          <w:szCs w:val="24"/>
        </w:rPr>
        <w:t>ati</w:t>
      </w:r>
      <w:r w:rsidRPr="00217CA0">
        <w:rPr>
          <w:rFonts w:eastAsia="Arial"/>
          <w:spacing w:val="-2"/>
          <w:szCs w:val="24"/>
        </w:rPr>
        <w:t>o</w:t>
      </w:r>
      <w:r w:rsidRPr="00217CA0">
        <w:rPr>
          <w:rFonts w:eastAsia="Arial"/>
          <w:szCs w:val="24"/>
        </w:rPr>
        <w:t>nal</w:t>
      </w:r>
      <w:r w:rsidRPr="00217CA0">
        <w:rPr>
          <w:rFonts w:eastAsia="Arial"/>
          <w:spacing w:val="30"/>
          <w:szCs w:val="24"/>
        </w:rPr>
        <w:t xml:space="preserve"> </w:t>
      </w:r>
      <w:r w:rsidRPr="00217CA0">
        <w:rPr>
          <w:rFonts w:eastAsia="Arial"/>
          <w:szCs w:val="24"/>
        </w:rPr>
        <w:t>pla</w:t>
      </w:r>
      <w:r w:rsidRPr="00217CA0">
        <w:rPr>
          <w:rFonts w:eastAsia="Arial"/>
          <w:spacing w:val="1"/>
          <w:szCs w:val="24"/>
        </w:rPr>
        <w:t>n</w:t>
      </w:r>
      <w:r w:rsidRPr="00217CA0">
        <w:rPr>
          <w:rFonts w:eastAsia="Arial"/>
          <w:szCs w:val="24"/>
        </w:rPr>
        <w:t>ning</w:t>
      </w:r>
      <w:r w:rsidRPr="00217CA0">
        <w:rPr>
          <w:rFonts w:eastAsia="Arial"/>
          <w:spacing w:val="32"/>
          <w:szCs w:val="24"/>
        </w:rPr>
        <w:t xml:space="preserve"> </w:t>
      </w:r>
      <w:r w:rsidRPr="00217CA0">
        <w:rPr>
          <w:rFonts w:eastAsia="Arial"/>
          <w:szCs w:val="24"/>
        </w:rPr>
        <w:t>pol</w:t>
      </w:r>
      <w:r w:rsidRPr="00217CA0">
        <w:rPr>
          <w:rFonts w:eastAsia="Arial"/>
          <w:spacing w:val="-1"/>
          <w:szCs w:val="24"/>
        </w:rPr>
        <w:t>i</w:t>
      </w:r>
      <w:r w:rsidRPr="00217CA0">
        <w:rPr>
          <w:rFonts w:eastAsia="Arial"/>
          <w:szCs w:val="24"/>
        </w:rPr>
        <w:t>cy</w:t>
      </w:r>
      <w:r w:rsidRPr="00217CA0">
        <w:rPr>
          <w:rFonts w:eastAsia="Arial"/>
          <w:spacing w:val="31"/>
          <w:szCs w:val="24"/>
        </w:rPr>
        <w:t xml:space="preserve"> </w:t>
      </w:r>
      <w:r w:rsidRPr="00217CA0">
        <w:rPr>
          <w:rFonts w:eastAsia="Arial"/>
          <w:szCs w:val="24"/>
        </w:rPr>
        <w:t>recognises t</w:t>
      </w:r>
      <w:r w:rsidRPr="00217CA0">
        <w:rPr>
          <w:rFonts w:eastAsia="Arial"/>
          <w:spacing w:val="1"/>
          <w:szCs w:val="24"/>
        </w:rPr>
        <w:t>h</w:t>
      </w:r>
      <w:r w:rsidRPr="00217CA0">
        <w:rPr>
          <w:rFonts w:eastAsia="Arial"/>
          <w:szCs w:val="24"/>
        </w:rPr>
        <w:t>at</w:t>
      </w:r>
      <w:r w:rsidRPr="00217CA0">
        <w:rPr>
          <w:rFonts w:eastAsia="Arial"/>
          <w:spacing w:val="5"/>
          <w:szCs w:val="24"/>
        </w:rPr>
        <w:t xml:space="preserve"> </w:t>
      </w:r>
      <w:r w:rsidRPr="00217CA0">
        <w:rPr>
          <w:rFonts w:eastAsia="Arial"/>
          <w:szCs w:val="24"/>
        </w:rPr>
        <w:t>Nati</w:t>
      </w:r>
      <w:r w:rsidRPr="00217CA0">
        <w:rPr>
          <w:rFonts w:eastAsia="Arial"/>
          <w:spacing w:val="-2"/>
          <w:szCs w:val="24"/>
        </w:rPr>
        <w:t>o</w:t>
      </w:r>
      <w:r w:rsidRPr="00217CA0">
        <w:rPr>
          <w:rFonts w:eastAsia="Arial"/>
          <w:szCs w:val="24"/>
        </w:rPr>
        <w:t>nal</w:t>
      </w:r>
      <w:r w:rsidRPr="00217CA0">
        <w:rPr>
          <w:rFonts w:eastAsia="Arial"/>
          <w:spacing w:val="4"/>
          <w:szCs w:val="24"/>
        </w:rPr>
        <w:t xml:space="preserve"> </w:t>
      </w:r>
      <w:r w:rsidRPr="00217CA0">
        <w:rPr>
          <w:rFonts w:eastAsia="Arial"/>
          <w:szCs w:val="24"/>
        </w:rPr>
        <w:t>Park</w:t>
      </w:r>
      <w:r w:rsidRPr="00217CA0">
        <w:rPr>
          <w:rFonts w:eastAsia="Arial"/>
          <w:spacing w:val="4"/>
          <w:szCs w:val="24"/>
        </w:rPr>
        <w:t xml:space="preserve"> </w:t>
      </w:r>
      <w:r w:rsidRPr="00217CA0">
        <w:rPr>
          <w:rFonts w:eastAsia="Arial"/>
          <w:szCs w:val="24"/>
        </w:rPr>
        <w:t>A</w:t>
      </w:r>
      <w:r w:rsidRPr="00217CA0">
        <w:rPr>
          <w:rFonts w:eastAsia="Arial"/>
          <w:spacing w:val="-2"/>
          <w:szCs w:val="24"/>
        </w:rPr>
        <w:t>ut</w:t>
      </w:r>
      <w:r w:rsidRPr="00217CA0">
        <w:rPr>
          <w:rFonts w:eastAsia="Arial"/>
          <w:szCs w:val="24"/>
        </w:rPr>
        <w:t>hor</w:t>
      </w:r>
      <w:r w:rsidRPr="00217CA0">
        <w:rPr>
          <w:rFonts w:eastAsia="Arial"/>
          <w:spacing w:val="-2"/>
          <w:szCs w:val="24"/>
        </w:rPr>
        <w:t>i</w:t>
      </w:r>
      <w:r w:rsidRPr="00217CA0">
        <w:rPr>
          <w:rFonts w:eastAsia="Arial"/>
          <w:szCs w:val="24"/>
        </w:rPr>
        <w:t>ties</w:t>
      </w:r>
      <w:r w:rsidRPr="00217CA0">
        <w:rPr>
          <w:rFonts w:eastAsia="Arial"/>
          <w:spacing w:val="5"/>
          <w:szCs w:val="24"/>
        </w:rPr>
        <w:t xml:space="preserve"> </w:t>
      </w:r>
      <w:r w:rsidRPr="00217CA0">
        <w:rPr>
          <w:rFonts w:eastAsia="Arial"/>
          <w:szCs w:val="24"/>
        </w:rPr>
        <w:t>ha</w:t>
      </w:r>
      <w:r w:rsidRPr="00217CA0">
        <w:rPr>
          <w:rFonts w:eastAsia="Arial"/>
          <w:spacing w:val="-3"/>
          <w:szCs w:val="24"/>
        </w:rPr>
        <w:t>v</w:t>
      </w:r>
      <w:r w:rsidRPr="00217CA0">
        <w:rPr>
          <w:rFonts w:eastAsia="Arial"/>
          <w:szCs w:val="24"/>
        </w:rPr>
        <w:t>e</w:t>
      </w:r>
      <w:r w:rsidRPr="00217CA0">
        <w:rPr>
          <w:rFonts w:eastAsia="Arial"/>
          <w:spacing w:val="5"/>
          <w:szCs w:val="24"/>
        </w:rPr>
        <w:t xml:space="preserve"> </w:t>
      </w:r>
      <w:r w:rsidRPr="00217CA0">
        <w:rPr>
          <w:rFonts w:eastAsia="Arial"/>
          <w:szCs w:val="24"/>
        </w:rPr>
        <w:t>an</w:t>
      </w:r>
      <w:r w:rsidRPr="00217CA0">
        <w:rPr>
          <w:rFonts w:eastAsia="Arial"/>
          <w:spacing w:val="5"/>
          <w:szCs w:val="24"/>
        </w:rPr>
        <w:t xml:space="preserve"> </w:t>
      </w:r>
      <w:r w:rsidRPr="00217CA0">
        <w:rPr>
          <w:rFonts w:eastAsia="Arial"/>
          <w:szCs w:val="24"/>
        </w:rPr>
        <w:t>i</w:t>
      </w:r>
      <w:r w:rsidRPr="00217CA0">
        <w:rPr>
          <w:rFonts w:eastAsia="Arial"/>
          <w:spacing w:val="-2"/>
          <w:szCs w:val="24"/>
        </w:rPr>
        <w:t>m</w:t>
      </w:r>
      <w:r w:rsidRPr="00217CA0">
        <w:rPr>
          <w:rFonts w:eastAsia="Arial"/>
          <w:szCs w:val="24"/>
        </w:rPr>
        <w:t>por</w:t>
      </w:r>
      <w:r w:rsidRPr="00217CA0">
        <w:rPr>
          <w:rFonts w:eastAsia="Arial"/>
          <w:spacing w:val="-3"/>
          <w:szCs w:val="24"/>
        </w:rPr>
        <w:t>t</w:t>
      </w:r>
      <w:r w:rsidRPr="00217CA0">
        <w:rPr>
          <w:rFonts w:eastAsia="Arial"/>
          <w:szCs w:val="24"/>
        </w:rPr>
        <w:t>ant</w:t>
      </w:r>
      <w:r w:rsidRPr="00217CA0">
        <w:rPr>
          <w:rFonts w:eastAsia="Arial"/>
          <w:spacing w:val="5"/>
          <w:szCs w:val="24"/>
        </w:rPr>
        <w:t xml:space="preserve"> </w:t>
      </w:r>
      <w:r w:rsidRPr="00217CA0">
        <w:rPr>
          <w:rFonts w:eastAsia="Arial"/>
          <w:szCs w:val="24"/>
        </w:rPr>
        <w:t>role</w:t>
      </w:r>
      <w:r w:rsidRPr="00217CA0">
        <w:rPr>
          <w:rFonts w:eastAsia="Arial"/>
          <w:spacing w:val="5"/>
          <w:szCs w:val="24"/>
        </w:rPr>
        <w:t xml:space="preserve"> </w:t>
      </w:r>
      <w:r w:rsidRPr="00217CA0">
        <w:rPr>
          <w:rFonts w:eastAsia="Arial"/>
          <w:szCs w:val="24"/>
        </w:rPr>
        <w:t>to</w:t>
      </w:r>
      <w:r w:rsidRPr="00217CA0">
        <w:rPr>
          <w:rFonts w:eastAsia="Arial"/>
          <w:spacing w:val="6"/>
          <w:szCs w:val="24"/>
        </w:rPr>
        <w:t xml:space="preserve"> </w:t>
      </w:r>
      <w:r w:rsidRPr="00217CA0">
        <w:rPr>
          <w:rFonts w:eastAsia="Arial"/>
          <w:szCs w:val="24"/>
        </w:rPr>
        <w:t>p</w:t>
      </w:r>
      <w:r w:rsidRPr="00217CA0">
        <w:rPr>
          <w:rFonts w:eastAsia="Arial"/>
          <w:spacing w:val="-3"/>
          <w:szCs w:val="24"/>
        </w:rPr>
        <w:t>l</w:t>
      </w:r>
      <w:r w:rsidRPr="00217CA0">
        <w:rPr>
          <w:rFonts w:eastAsia="Arial"/>
          <w:szCs w:val="24"/>
        </w:rPr>
        <w:t>ay</w:t>
      </w:r>
      <w:r w:rsidRPr="00217CA0">
        <w:rPr>
          <w:rFonts w:eastAsia="Arial"/>
          <w:spacing w:val="2"/>
          <w:szCs w:val="24"/>
        </w:rPr>
        <w:t xml:space="preserve"> </w:t>
      </w:r>
      <w:r w:rsidRPr="00217CA0">
        <w:rPr>
          <w:rFonts w:eastAsia="Arial"/>
          <w:szCs w:val="24"/>
        </w:rPr>
        <w:t>in</w:t>
      </w:r>
      <w:r w:rsidRPr="00217CA0">
        <w:rPr>
          <w:rFonts w:eastAsia="Arial"/>
          <w:spacing w:val="5"/>
          <w:szCs w:val="24"/>
        </w:rPr>
        <w:t xml:space="preserve"> </w:t>
      </w:r>
      <w:r w:rsidRPr="00217CA0">
        <w:rPr>
          <w:rFonts w:eastAsia="Arial"/>
          <w:szCs w:val="24"/>
        </w:rPr>
        <w:t>del</w:t>
      </w:r>
      <w:r w:rsidRPr="00217CA0">
        <w:rPr>
          <w:rFonts w:eastAsia="Arial"/>
          <w:spacing w:val="1"/>
          <w:szCs w:val="24"/>
        </w:rPr>
        <w:t>i</w:t>
      </w:r>
      <w:r w:rsidRPr="00217CA0">
        <w:rPr>
          <w:rFonts w:eastAsia="Arial"/>
          <w:szCs w:val="24"/>
        </w:rPr>
        <w:t>ver</w:t>
      </w:r>
      <w:r w:rsidRPr="00217CA0">
        <w:rPr>
          <w:rFonts w:eastAsia="Arial"/>
          <w:spacing w:val="-2"/>
          <w:szCs w:val="24"/>
        </w:rPr>
        <w:t>i</w:t>
      </w:r>
      <w:r w:rsidRPr="00217CA0">
        <w:rPr>
          <w:rFonts w:eastAsia="Arial"/>
          <w:szCs w:val="24"/>
        </w:rPr>
        <w:t>ng housing</w:t>
      </w:r>
      <w:r w:rsidRPr="00217CA0">
        <w:rPr>
          <w:rFonts w:eastAsia="Arial"/>
          <w:spacing w:val="63"/>
          <w:szCs w:val="24"/>
        </w:rPr>
        <w:t xml:space="preserve"> </w:t>
      </w:r>
      <w:r w:rsidRPr="00217CA0">
        <w:rPr>
          <w:rFonts w:eastAsia="Arial"/>
          <w:spacing w:val="2"/>
          <w:szCs w:val="24"/>
        </w:rPr>
        <w:t>f</w:t>
      </w:r>
      <w:r w:rsidRPr="00217CA0">
        <w:rPr>
          <w:rFonts w:eastAsia="Arial"/>
          <w:szCs w:val="24"/>
        </w:rPr>
        <w:t>or local people</w:t>
      </w:r>
      <w:r w:rsidRPr="00217CA0">
        <w:rPr>
          <w:rFonts w:eastAsia="Arial"/>
          <w:spacing w:val="1"/>
          <w:szCs w:val="24"/>
        </w:rPr>
        <w:t xml:space="preserve"> </w:t>
      </w:r>
      <w:r w:rsidRPr="00217CA0">
        <w:rPr>
          <w:rFonts w:eastAsia="Arial"/>
          <w:spacing w:val="-3"/>
          <w:szCs w:val="24"/>
        </w:rPr>
        <w:t>w</w:t>
      </w:r>
      <w:r w:rsidRPr="00217CA0">
        <w:rPr>
          <w:rFonts w:eastAsia="Arial"/>
          <w:szCs w:val="24"/>
        </w:rPr>
        <w:t>ithin</w:t>
      </w:r>
      <w:r w:rsidRPr="00217CA0">
        <w:rPr>
          <w:rFonts w:eastAsia="Arial"/>
          <w:spacing w:val="1"/>
          <w:szCs w:val="24"/>
        </w:rPr>
        <w:t xml:space="preserve"> </w:t>
      </w:r>
      <w:r w:rsidRPr="00217CA0">
        <w:rPr>
          <w:rFonts w:eastAsia="Arial"/>
          <w:szCs w:val="24"/>
        </w:rPr>
        <w:t>t</w:t>
      </w:r>
      <w:r w:rsidRPr="00217CA0">
        <w:rPr>
          <w:rFonts w:eastAsia="Arial"/>
          <w:spacing w:val="1"/>
          <w:szCs w:val="24"/>
        </w:rPr>
        <w:t>h</w:t>
      </w:r>
      <w:r w:rsidRPr="00217CA0">
        <w:rPr>
          <w:rFonts w:eastAsia="Arial"/>
          <w:szCs w:val="24"/>
        </w:rPr>
        <w:t>e</w:t>
      </w:r>
      <w:r w:rsidRPr="00217CA0">
        <w:rPr>
          <w:rFonts w:eastAsia="Arial"/>
          <w:spacing w:val="1"/>
          <w:szCs w:val="24"/>
        </w:rPr>
        <w:t xml:space="preserve"> </w:t>
      </w:r>
      <w:r w:rsidRPr="00217CA0">
        <w:rPr>
          <w:rFonts w:eastAsia="Arial"/>
          <w:szCs w:val="24"/>
        </w:rPr>
        <w:t>co</w:t>
      </w:r>
      <w:r w:rsidRPr="00217CA0">
        <w:rPr>
          <w:rFonts w:eastAsia="Arial"/>
          <w:spacing w:val="-2"/>
          <w:szCs w:val="24"/>
        </w:rPr>
        <w:t>n</w:t>
      </w:r>
      <w:r w:rsidRPr="00217CA0">
        <w:rPr>
          <w:rFonts w:eastAsia="Arial"/>
          <w:szCs w:val="24"/>
        </w:rPr>
        <w:t>t</w:t>
      </w:r>
      <w:r w:rsidRPr="00217CA0">
        <w:rPr>
          <w:rFonts w:eastAsia="Arial"/>
          <w:spacing w:val="1"/>
          <w:szCs w:val="24"/>
        </w:rPr>
        <w:t>e</w:t>
      </w:r>
      <w:r w:rsidRPr="00217CA0">
        <w:rPr>
          <w:rFonts w:eastAsia="Arial"/>
          <w:spacing w:val="-3"/>
          <w:szCs w:val="24"/>
        </w:rPr>
        <w:t>x</w:t>
      </w:r>
      <w:r w:rsidRPr="00217CA0">
        <w:rPr>
          <w:rFonts w:eastAsia="Arial"/>
          <w:szCs w:val="24"/>
        </w:rPr>
        <w:t>t</w:t>
      </w:r>
      <w:r w:rsidRPr="00217CA0">
        <w:rPr>
          <w:rFonts w:eastAsia="Arial"/>
          <w:spacing w:val="1"/>
          <w:szCs w:val="24"/>
        </w:rPr>
        <w:t xml:space="preserve"> </w:t>
      </w:r>
      <w:r w:rsidRPr="00217CA0">
        <w:rPr>
          <w:rFonts w:eastAsia="Arial"/>
          <w:spacing w:val="-2"/>
          <w:szCs w:val="24"/>
        </w:rPr>
        <w:t>o</w:t>
      </w:r>
      <w:r w:rsidRPr="00217CA0">
        <w:rPr>
          <w:rFonts w:eastAsia="Arial"/>
          <w:szCs w:val="24"/>
        </w:rPr>
        <w:t>f</w:t>
      </w:r>
      <w:r w:rsidRPr="00217CA0">
        <w:rPr>
          <w:rFonts w:eastAsia="Arial"/>
          <w:spacing w:val="3"/>
          <w:szCs w:val="24"/>
        </w:rPr>
        <w:t xml:space="preserve"> </w:t>
      </w:r>
      <w:r w:rsidRPr="00217CA0">
        <w:rPr>
          <w:rFonts w:eastAsia="Arial"/>
          <w:szCs w:val="24"/>
        </w:rPr>
        <w:t>a</w:t>
      </w:r>
      <w:r w:rsidRPr="00217CA0">
        <w:rPr>
          <w:rFonts w:eastAsia="Arial"/>
          <w:spacing w:val="1"/>
          <w:szCs w:val="24"/>
        </w:rPr>
        <w:t xml:space="preserve"> </w:t>
      </w:r>
      <w:r w:rsidRPr="00217CA0">
        <w:rPr>
          <w:rFonts w:eastAsia="Arial"/>
          <w:spacing w:val="-2"/>
          <w:szCs w:val="24"/>
        </w:rPr>
        <w:t>n</w:t>
      </w:r>
      <w:r w:rsidRPr="00217CA0">
        <w:rPr>
          <w:rFonts w:eastAsia="Arial"/>
          <w:szCs w:val="24"/>
        </w:rPr>
        <w:t>atio</w:t>
      </w:r>
      <w:r w:rsidRPr="00217CA0">
        <w:rPr>
          <w:rFonts w:eastAsia="Arial"/>
          <w:spacing w:val="-2"/>
          <w:szCs w:val="24"/>
        </w:rPr>
        <w:t>n</w:t>
      </w:r>
      <w:r w:rsidRPr="00217CA0">
        <w:rPr>
          <w:rFonts w:eastAsia="Arial"/>
          <w:szCs w:val="24"/>
        </w:rPr>
        <w:t>al</w:t>
      </w:r>
      <w:r w:rsidRPr="00217CA0">
        <w:rPr>
          <w:rFonts w:eastAsia="Arial"/>
          <w:spacing w:val="-1"/>
          <w:szCs w:val="24"/>
        </w:rPr>
        <w:t>l</w:t>
      </w:r>
      <w:r w:rsidRPr="00217CA0">
        <w:rPr>
          <w:rFonts w:eastAsia="Arial"/>
          <w:szCs w:val="24"/>
        </w:rPr>
        <w:t>y</w:t>
      </w:r>
      <w:r w:rsidRPr="00217CA0">
        <w:rPr>
          <w:rFonts w:eastAsia="Arial"/>
          <w:spacing w:val="65"/>
          <w:szCs w:val="24"/>
        </w:rPr>
        <w:t xml:space="preserve"> </w:t>
      </w:r>
      <w:r w:rsidRPr="00217CA0">
        <w:rPr>
          <w:rFonts w:eastAsia="Arial"/>
          <w:szCs w:val="24"/>
        </w:rPr>
        <w:t>prot</w:t>
      </w:r>
      <w:r w:rsidRPr="00217CA0">
        <w:rPr>
          <w:rFonts w:eastAsia="Arial"/>
          <w:spacing w:val="1"/>
          <w:szCs w:val="24"/>
        </w:rPr>
        <w:t>e</w:t>
      </w:r>
      <w:r w:rsidRPr="00217CA0">
        <w:rPr>
          <w:rFonts w:eastAsia="Arial"/>
          <w:szCs w:val="24"/>
        </w:rPr>
        <w:t>ct</w:t>
      </w:r>
      <w:r w:rsidRPr="00217CA0">
        <w:rPr>
          <w:rFonts w:eastAsia="Arial"/>
          <w:spacing w:val="-1"/>
          <w:szCs w:val="24"/>
        </w:rPr>
        <w:t>e</w:t>
      </w:r>
      <w:r w:rsidRPr="00217CA0">
        <w:rPr>
          <w:rFonts w:eastAsia="Arial"/>
          <w:szCs w:val="24"/>
        </w:rPr>
        <w:t>d la</w:t>
      </w:r>
      <w:r w:rsidRPr="00217CA0">
        <w:rPr>
          <w:rFonts w:eastAsia="Arial"/>
          <w:spacing w:val="1"/>
          <w:szCs w:val="24"/>
        </w:rPr>
        <w:t>n</w:t>
      </w:r>
      <w:r w:rsidRPr="00217CA0">
        <w:rPr>
          <w:rFonts w:eastAsia="Arial"/>
          <w:szCs w:val="24"/>
        </w:rPr>
        <w:t>dsc</w:t>
      </w:r>
      <w:r w:rsidRPr="00217CA0">
        <w:rPr>
          <w:rFonts w:eastAsia="Arial"/>
          <w:spacing w:val="-2"/>
          <w:szCs w:val="24"/>
        </w:rPr>
        <w:t>a</w:t>
      </w:r>
      <w:r w:rsidRPr="00217CA0">
        <w:rPr>
          <w:rFonts w:eastAsia="Arial"/>
          <w:spacing w:val="1"/>
          <w:szCs w:val="24"/>
        </w:rPr>
        <w:t>p</w:t>
      </w:r>
      <w:r w:rsidRPr="00217CA0">
        <w:rPr>
          <w:rFonts w:eastAsia="Arial"/>
          <w:szCs w:val="24"/>
        </w:rPr>
        <w:t>e.</w:t>
      </w:r>
    </w:p>
    <w:p w14:paraId="6276B907" w14:textId="77777777" w:rsidR="00011D29" w:rsidRPr="00217CA0" w:rsidRDefault="00011D29" w:rsidP="00011D29">
      <w:pPr>
        <w:widowControl w:val="0"/>
        <w:ind w:left="1276" w:right="120"/>
        <w:rPr>
          <w:rFonts w:eastAsia="Arial"/>
          <w:szCs w:val="24"/>
        </w:rPr>
      </w:pPr>
    </w:p>
    <w:p w14:paraId="7FA526B1" w14:textId="77777777" w:rsidR="00011D29" w:rsidRPr="00217CA0" w:rsidRDefault="00011D29" w:rsidP="00011D29">
      <w:pPr>
        <w:pStyle w:val="BodyText"/>
        <w:numPr>
          <w:ilvl w:val="2"/>
          <w:numId w:val="17"/>
        </w:numPr>
        <w:spacing w:before="69"/>
        <w:ind w:left="1276" w:right="214" w:hanging="567"/>
        <w:rPr>
          <w:lang w:val="en-GB"/>
        </w:rPr>
      </w:pPr>
      <w:r w:rsidRPr="00217CA0">
        <w:rPr>
          <w:rFonts w:cs="Arial"/>
          <w:i/>
          <w:lang w:val="en-GB"/>
        </w:rPr>
        <w:t>Sust</w:t>
      </w:r>
      <w:r w:rsidRPr="00217CA0">
        <w:rPr>
          <w:rFonts w:cs="Arial"/>
          <w:i/>
          <w:spacing w:val="1"/>
          <w:lang w:val="en-GB"/>
        </w:rPr>
        <w:t>a</w:t>
      </w:r>
      <w:r w:rsidRPr="00217CA0">
        <w:rPr>
          <w:rFonts w:cs="Arial"/>
          <w:i/>
          <w:lang w:val="en-GB"/>
        </w:rPr>
        <w:t>in</w:t>
      </w:r>
      <w:r w:rsidRPr="00217CA0">
        <w:rPr>
          <w:rFonts w:cs="Arial"/>
          <w:i/>
          <w:spacing w:val="-3"/>
          <w:lang w:val="en-GB"/>
        </w:rPr>
        <w:t>i</w:t>
      </w:r>
      <w:r w:rsidRPr="00217CA0">
        <w:rPr>
          <w:rFonts w:cs="Arial"/>
          <w:i/>
          <w:lang w:val="en-GB"/>
        </w:rPr>
        <w:t>ng</w:t>
      </w:r>
      <w:r w:rsidRPr="00217CA0">
        <w:rPr>
          <w:rFonts w:cs="Arial"/>
          <w:i/>
          <w:spacing w:val="3"/>
          <w:lang w:val="en-GB"/>
        </w:rPr>
        <w:t xml:space="preserve"> </w:t>
      </w:r>
      <w:r w:rsidRPr="00217CA0">
        <w:rPr>
          <w:rFonts w:cs="Arial"/>
          <w:i/>
          <w:lang w:val="en-GB"/>
        </w:rPr>
        <w:t>a</w:t>
      </w:r>
      <w:r w:rsidRPr="00217CA0">
        <w:rPr>
          <w:rFonts w:cs="Arial"/>
          <w:i/>
          <w:spacing w:val="5"/>
          <w:lang w:val="en-GB"/>
        </w:rPr>
        <w:t xml:space="preserve"> </w:t>
      </w:r>
      <w:r w:rsidRPr="00217CA0">
        <w:rPr>
          <w:rFonts w:cs="Arial"/>
          <w:i/>
          <w:lang w:val="en-GB"/>
        </w:rPr>
        <w:t>diverse</w:t>
      </w:r>
      <w:r w:rsidRPr="00217CA0">
        <w:rPr>
          <w:rFonts w:cs="Arial"/>
          <w:i/>
          <w:spacing w:val="3"/>
          <w:lang w:val="en-GB"/>
        </w:rPr>
        <w:t xml:space="preserve"> </w:t>
      </w:r>
      <w:r w:rsidRPr="00217CA0">
        <w:rPr>
          <w:rFonts w:cs="Arial"/>
          <w:i/>
          <w:lang w:val="en-GB"/>
        </w:rPr>
        <w:t>l</w:t>
      </w:r>
      <w:r w:rsidRPr="00217CA0">
        <w:rPr>
          <w:rFonts w:cs="Arial"/>
          <w:i/>
          <w:spacing w:val="-2"/>
          <w:lang w:val="en-GB"/>
        </w:rPr>
        <w:t>o</w:t>
      </w:r>
      <w:r w:rsidRPr="00217CA0">
        <w:rPr>
          <w:rFonts w:cs="Arial"/>
          <w:i/>
          <w:lang w:val="en-GB"/>
        </w:rPr>
        <w:t>cal</w:t>
      </w:r>
      <w:r w:rsidRPr="00217CA0">
        <w:rPr>
          <w:rFonts w:cs="Arial"/>
          <w:i/>
          <w:spacing w:val="4"/>
          <w:lang w:val="en-GB"/>
        </w:rPr>
        <w:t xml:space="preserve"> </w:t>
      </w:r>
      <w:r w:rsidRPr="00217CA0">
        <w:rPr>
          <w:rFonts w:cs="Arial"/>
          <w:i/>
          <w:lang w:val="en-GB"/>
        </w:rPr>
        <w:t>ec</w:t>
      </w:r>
      <w:r w:rsidRPr="00217CA0">
        <w:rPr>
          <w:rFonts w:cs="Arial"/>
          <w:i/>
          <w:spacing w:val="-2"/>
          <w:lang w:val="en-GB"/>
        </w:rPr>
        <w:t>o</w:t>
      </w:r>
      <w:r w:rsidRPr="00217CA0">
        <w:rPr>
          <w:rFonts w:cs="Arial"/>
          <w:i/>
          <w:lang w:val="en-GB"/>
        </w:rPr>
        <w:t>no</w:t>
      </w:r>
      <w:r w:rsidRPr="00217CA0">
        <w:rPr>
          <w:rFonts w:cs="Arial"/>
          <w:i/>
          <w:spacing w:val="-4"/>
          <w:lang w:val="en-GB"/>
        </w:rPr>
        <w:t>m</w:t>
      </w:r>
      <w:r w:rsidRPr="00217CA0">
        <w:rPr>
          <w:rFonts w:cs="Arial"/>
          <w:i/>
          <w:lang w:val="en-GB"/>
        </w:rPr>
        <w:t>y</w:t>
      </w:r>
      <w:r w:rsidRPr="00217CA0">
        <w:rPr>
          <w:rFonts w:cs="Arial"/>
          <w:i/>
          <w:spacing w:val="9"/>
          <w:lang w:val="en-GB"/>
        </w:rPr>
        <w:t xml:space="preserve"> </w:t>
      </w:r>
      <w:r w:rsidRPr="00217CA0">
        <w:rPr>
          <w:rFonts w:cs="Arial"/>
          <w:lang w:val="en-GB"/>
        </w:rPr>
        <w:t>–</w:t>
      </w:r>
      <w:r w:rsidRPr="00217CA0">
        <w:rPr>
          <w:rFonts w:cs="Arial"/>
          <w:spacing w:val="6"/>
          <w:lang w:val="en-GB"/>
        </w:rPr>
        <w:t xml:space="preserve"> </w:t>
      </w:r>
      <w:r w:rsidRPr="00217CA0">
        <w:rPr>
          <w:lang w:val="en-GB"/>
        </w:rPr>
        <w:t>in</w:t>
      </w:r>
      <w:r w:rsidRPr="00217CA0">
        <w:rPr>
          <w:spacing w:val="5"/>
          <w:lang w:val="en-GB"/>
        </w:rPr>
        <w:t xml:space="preserve"> </w:t>
      </w:r>
      <w:r w:rsidRPr="00217CA0">
        <w:rPr>
          <w:spacing w:val="-2"/>
          <w:lang w:val="en-GB"/>
        </w:rPr>
        <w:t>d</w:t>
      </w:r>
      <w:r w:rsidRPr="00217CA0">
        <w:rPr>
          <w:lang w:val="en-GB"/>
        </w:rPr>
        <w:t>el</w:t>
      </w:r>
      <w:r w:rsidRPr="00217CA0">
        <w:rPr>
          <w:spacing w:val="-1"/>
          <w:lang w:val="en-GB"/>
        </w:rPr>
        <w:t>i</w:t>
      </w:r>
      <w:r w:rsidRPr="00217CA0">
        <w:rPr>
          <w:lang w:val="en-GB"/>
        </w:rPr>
        <w:t>ver</w:t>
      </w:r>
      <w:r w:rsidRPr="00217CA0">
        <w:rPr>
          <w:spacing w:val="-2"/>
          <w:lang w:val="en-GB"/>
        </w:rPr>
        <w:t>i</w:t>
      </w:r>
      <w:r w:rsidRPr="00217CA0">
        <w:rPr>
          <w:lang w:val="en-GB"/>
        </w:rPr>
        <w:t>ng</w:t>
      </w:r>
      <w:r w:rsidRPr="00217CA0">
        <w:rPr>
          <w:spacing w:val="3"/>
          <w:lang w:val="en-GB"/>
        </w:rPr>
        <w:t xml:space="preserve"> </w:t>
      </w:r>
      <w:r w:rsidRPr="00217CA0">
        <w:rPr>
          <w:lang w:val="en-GB"/>
        </w:rPr>
        <w:t>t</w:t>
      </w:r>
      <w:r w:rsidRPr="00217CA0">
        <w:rPr>
          <w:spacing w:val="1"/>
          <w:lang w:val="en-GB"/>
        </w:rPr>
        <w:t>h</w:t>
      </w:r>
      <w:r w:rsidRPr="00217CA0">
        <w:rPr>
          <w:lang w:val="en-GB"/>
        </w:rPr>
        <w:t>e</w:t>
      </w:r>
      <w:r w:rsidRPr="00217CA0">
        <w:rPr>
          <w:spacing w:val="5"/>
          <w:lang w:val="en-GB"/>
        </w:rPr>
        <w:t xml:space="preserve"> </w:t>
      </w:r>
      <w:r w:rsidRPr="00217CA0">
        <w:rPr>
          <w:lang w:val="en-GB"/>
        </w:rPr>
        <w:t>t</w:t>
      </w:r>
      <w:r w:rsidRPr="00217CA0">
        <w:rPr>
          <w:spacing w:val="-3"/>
          <w:lang w:val="en-GB"/>
        </w:rPr>
        <w:t>w</w:t>
      </w:r>
      <w:r w:rsidRPr="00217CA0">
        <w:rPr>
          <w:lang w:val="en-GB"/>
        </w:rPr>
        <w:t>o</w:t>
      </w:r>
      <w:r w:rsidRPr="00217CA0">
        <w:rPr>
          <w:spacing w:val="5"/>
          <w:lang w:val="en-GB"/>
        </w:rPr>
        <w:t xml:space="preserve"> </w:t>
      </w:r>
      <w:r w:rsidRPr="00217CA0">
        <w:rPr>
          <w:lang w:val="en-GB"/>
        </w:rPr>
        <w:t>st</w:t>
      </w:r>
      <w:r w:rsidRPr="00217CA0">
        <w:rPr>
          <w:spacing w:val="1"/>
          <w:lang w:val="en-GB"/>
        </w:rPr>
        <w:t>a</w:t>
      </w:r>
      <w:r w:rsidRPr="00217CA0">
        <w:rPr>
          <w:spacing w:val="-2"/>
          <w:lang w:val="en-GB"/>
        </w:rPr>
        <w:t>t</w:t>
      </w:r>
      <w:r w:rsidRPr="00217CA0">
        <w:rPr>
          <w:lang w:val="en-GB"/>
        </w:rPr>
        <w:t>ut</w:t>
      </w:r>
      <w:r w:rsidRPr="00217CA0">
        <w:rPr>
          <w:spacing w:val="1"/>
          <w:lang w:val="en-GB"/>
        </w:rPr>
        <w:t>o</w:t>
      </w:r>
      <w:r w:rsidRPr="00217CA0">
        <w:rPr>
          <w:lang w:val="en-GB"/>
        </w:rPr>
        <w:t>ry</w:t>
      </w:r>
      <w:r w:rsidRPr="00217CA0">
        <w:rPr>
          <w:spacing w:val="1"/>
          <w:lang w:val="en-GB"/>
        </w:rPr>
        <w:t xml:space="preserve"> </w:t>
      </w:r>
      <w:r w:rsidRPr="00217CA0">
        <w:rPr>
          <w:lang w:val="en-GB"/>
        </w:rPr>
        <w:t>Park purpo</w:t>
      </w:r>
      <w:r w:rsidRPr="00217CA0">
        <w:rPr>
          <w:spacing w:val="-3"/>
          <w:lang w:val="en-GB"/>
        </w:rPr>
        <w:t>s</w:t>
      </w:r>
      <w:r w:rsidRPr="00217CA0">
        <w:rPr>
          <w:lang w:val="en-GB"/>
        </w:rPr>
        <w:t>es,</w:t>
      </w:r>
      <w:r w:rsidRPr="00217CA0">
        <w:rPr>
          <w:spacing w:val="20"/>
          <w:lang w:val="en-GB"/>
        </w:rPr>
        <w:t xml:space="preserve"> </w:t>
      </w:r>
      <w:r w:rsidRPr="00217CA0">
        <w:rPr>
          <w:spacing w:val="-2"/>
          <w:lang w:val="en-GB"/>
        </w:rPr>
        <w:t>t</w:t>
      </w:r>
      <w:r w:rsidRPr="00217CA0">
        <w:rPr>
          <w:lang w:val="en-GB"/>
        </w:rPr>
        <w:t>he</w:t>
      </w:r>
      <w:r w:rsidRPr="00217CA0">
        <w:rPr>
          <w:spacing w:val="20"/>
          <w:lang w:val="en-GB"/>
        </w:rPr>
        <w:t xml:space="preserve"> </w:t>
      </w:r>
      <w:r w:rsidRPr="00217CA0">
        <w:rPr>
          <w:spacing w:val="-2"/>
          <w:lang w:val="en-GB"/>
        </w:rPr>
        <w:t>A</w:t>
      </w:r>
      <w:r w:rsidRPr="00217CA0">
        <w:rPr>
          <w:lang w:val="en-GB"/>
        </w:rPr>
        <w:t>ut</w:t>
      </w:r>
      <w:r w:rsidRPr="00217CA0">
        <w:rPr>
          <w:spacing w:val="-1"/>
          <w:lang w:val="en-GB"/>
        </w:rPr>
        <w:t>h</w:t>
      </w:r>
      <w:r w:rsidRPr="00217CA0">
        <w:rPr>
          <w:lang w:val="en-GB"/>
        </w:rPr>
        <w:t>or</w:t>
      </w:r>
      <w:r w:rsidRPr="00217CA0">
        <w:rPr>
          <w:spacing w:val="-2"/>
          <w:lang w:val="en-GB"/>
        </w:rPr>
        <w:t>i</w:t>
      </w:r>
      <w:r w:rsidRPr="00217CA0">
        <w:rPr>
          <w:lang w:val="en-GB"/>
        </w:rPr>
        <w:t>ty</w:t>
      </w:r>
      <w:r w:rsidRPr="00217CA0">
        <w:rPr>
          <w:spacing w:val="18"/>
          <w:lang w:val="en-GB"/>
        </w:rPr>
        <w:t xml:space="preserve"> </w:t>
      </w:r>
      <w:r w:rsidRPr="00217CA0">
        <w:rPr>
          <w:lang w:val="en-GB"/>
        </w:rPr>
        <w:t>has</w:t>
      </w:r>
      <w:r w:rsidRPr="00217CA0">
        <w:rPr>
          <w:spacing w:val="19"/>
          <w:lang w:val="en-GB"/>
        </w:rPr>
        <w:t xml:space="preserve"> </w:t>
      </w:r>
      <w:r w:rsidRPr="00217CA0">
        <w:rPr>
          <w:lang w:val="en-GB"/>
        </w:rPr>
        <w:t>an</w:t>
      </w:r>
      <w:r w:rsidRPr="00217CA0">
        <w:rPr>
          <w:spacing w:val="20"/>
          <w:lang w:val="en-GB"/>
        </w:rPr>
        <w:t xml:space="preserve"> </w:t>
      </w:r>
      <w:r w:rsidRPr="00217CA0">
        <w:rPr>
          <w:spacing w:val="-3"/>
          <w:lang w:val="en-GB"/>
        </w:rPr>
        <w:t>i</w:t>
      </w:r>
      <w:r w:rsidRPr="00217CA0">
        <w:rPr>
          <w:spacing w:val="1"/>
          <w:lang w:val="en-GB"/>
        </w:rPr>
        <w:t>m</w:t>
      </w:r>
      <w:r w:rsidRPr="00217CA0">
        <w:rPr>
          <w:lang w:val="en-GB"/>
        </w:rPr>
        <w:t>por</w:t>
      </w:r>
      <w:r w:rsidRPr="00217CA0">
        <w:rPr>
          <w:spacing w:val="-3"/>
          <w:lang w:val="en-GB"/>
        </w:rPr>
        <w:t>t</w:t>
      </w:r>
      <w:r w:rsidRPr="00217CA0">
        <w:rPr>
          <w:lang w:val="en-GB"/>
        </w:rPr>
        <w:t>ant</w:t>
      </w:r>
      <w:r w:rsidRPr="00217CA0">
        <w:rPr>
          <w:spacing w:val="18"/>
          <w:lang w:val="en-GB"/>
        </w:rPr>
        <w:t xml:space="preserve"> </w:t>
      </w:r>
      <w:r w:rsidRPr="00217CA0">
        <w:rPr>
          <w:lang w:val="en-GB"/>
        </w:rPr>
        <w:t>duty</w:t>
      </w:r>
      <w:r w:rsidRPr="00217CA0">
        <w:rPr>
          <w:spacing w:val="18"/>
          <w:lang w:val="en-GB"/>
        </w:rPr>
        <w:t xml:space="preserve"> </w:t>
      </w:r>
      <w:r w:rsidRPr="00217CA0">
        <w:rPr>
          <w:lang w:val="en-GB"/>
        </w:rPr>
        <w:t>to</w:t>
      </w:r>
      <w:r w:rsidRPr="00217CA0">
        <w:rPr>
          <w:spacing w:val="18"/>
          <w:lang w:val="en-GB"/>
        </w:rPr>
        <w:t xml:space="preserve"> </w:t>
      </w:r>
      <w:r w:rsidRPr="00217CA0">
        <w:rPr>
          <w:spacing w:val="2"/>
          <w:lang w:val="en-GB"/>
        </w:rPr>
        <w:t>f</w:t>
      </w:r>
      <w:r w:rsidRPr="00217CA0">
        <w:rPr>
          <w:lang w:val="en-GB"/>
        </w:rPr>
        <w:t>o</w:t>
      </w:r>
      <w:r w:rsidRPr="00217CA0">
        <w:rPr>
          <w:spacing w:val="-3"/>
          <w:lang w:val="en-GB"/>
        </w:rPr>
        <w:t>s</w:t>
      </w:r>
      <w:r w:rsidRPr="00217CA0">
        <w:rPr>
          <w:lang w:val="en-GB"/>
        </w:rPr>
        <w:t>t</w:t>
      </w:r>
      <w:r w:rsidRPr="00217CA0">
        <w:rPr>
          <w:spacing w:val="1"/>
          <w:lang w:val="en-GB"/>
        </w:rPr>
        <w:t>e</w:t>
      </w:r>
      <w:r w:rsidRPr="00217CA0">
        <w:rPr>
          <w:lang w:val="en-GB"/>
        </w:rPr>
        <w:t>r</w:t>
      </w:r>
      <w:r w:rsidRPr="00217CA0">
        <w:rPr>
          <w:spacing w:val="19"/>
          <w:lang w:val="en-GB"/>
        </w:rPr>
        <w:t xml:space="preserve"> </w:t>
      </w:r>
      <w:r w:rsidRPr="00217CA0">
        <w:rPr>
          <w:lang w:val="en-GB"/>
        </w:rPr>
        <w:t>t</w:t>
      </w:r>
      <w:r w:rsidRPr="00217CA0">
        <w:rPr>
          <w:spacing w:val="-1"/>
          <w:lang w:val="en-GB"/>
        </w:rPr>
        <w:t>h</w:t>
      </w:r>
      <w:r w:rsidRPr="00217CA0">
        <w:rPr>
          <w:lang w:val="en-GB"/>
        </w:rPr>
        <w:t>e</w:t>
      </w:r>
      <w:r w:rsidRPr="00217CA0">
        <w:rPr>
          <w:spacing w:val="20"/>
          <w:lang w:val="en-GB"/>
        </w:rPr>
        <w:t xml:space="preserve"> </w:t>
      </w:r>
      <w:r w:rsidRPr="00217CA0">
        <w:rPr>
          <w:lang w:val="en-GB"/>
        </w:rPr>
        <w:t>s</w:t>
      </w:r>
      <w:r w:rsidRPr="00217CA0">
        <w:rPr>
          <w:spacing w:val="-2"/>
          <w:lang w:val="en-GB"/>
        </w:rPr>
        <w:t>o</w:t>
      </w:r>
      <w:r w:rsidRPr="00217CA0">
        <w:rPr>
          <w:lang w:val="en-GB"/>
        </w:rPr>
        <w:t>ci</w:t>
      </w:r>
      <w:r w:rsidRPr="00217CA0">
        <w:rPr>
          <w:spacing w:val="10"/>
          <w:lang w:val="en-GB"/>
        </w:rPr>
        <w:t>o</w:t>
      </w:r>
      <w:r w:rsidRPr="00217CA0">
        <w:rPr>
          <w:lang w:val="en-GB"/>
        </w:rPr>
        <w:t>-eco</w:t>
      </w:r>
      <w:r w:rsidRPr="00217CA0">
        <w:rPr>
          <w:spacing w:val="-2"/>
          <w:lang w:val="en-GB"/>
        </w:rPr>
        <w:t>n</w:t>
      </w:r>
      <w:r w:rsidRPr="00217CA0">
        <w:rPr>
          <w:lang w:val="en-GB"/>
        </w:rPr>
        <w:t>o</w:t>
      </w:r>
      <w:r w:rsidRPr="00217CA0">
        <w:rPr>
          <w:spacing w:val="1"/>
          <w:lang w:val="en-GB"/>
        </w:rPr>
        <w:t>m</w:t>
      </w:r>
      <w:r w:rsidRPr="00217CA0">
        <w:rPr>
          <w:lang w:val="en-GB"/>
        </w:rPr>
        <w:t xml:space="preserve">ic </w:t>
      </w:r>
      <w:r w:rsidRPr="00217CA0">
        <w:rPr>
          <w:spacing w:val="-3"/>
          <w:lang w:val="en-GB"/>
        </w:rPr>
        <w:t>w</w:t>
      </w:r>
      <w:r w:rsidRPr="00217CA0">
        <w:rPr>
          <w:lang w:val="en-GB"/>
        </w:rPr>
        <w:t>el</w:t>
      </w:r>
      <w:r w:rsidRPr="00217CA0">
        <w:rPr>
          <w:spacing w:val="-1"/>
          <w:lang w:val="en-GB"/>
        </w:rPr>
        <w:t>l</w:t>
      </w:r>
      <w:r w:rsidRPr="00217CA0">
        <w:rPr>
          <w:lang w:val="en-GB"/>
        </w:rPr>
        <w:t>being</w:t>
      </w:r>
      <w:r w:rsidRPr="00217CA0">
        <w:rPr>
          <w:spacing w:val="-1"/>
          <w:lang w:val="en-GB"/>
        </w:rPr>
        <w:t xml:space="preserve"> o</w:t>
      </w:r>
      <w:r w:rsidRPr="00217CA0">
        <w:rPr>
          <w:lang w:val="en-GB"/>
        </w:rPr>
        <w:t>f t</w:t>
      </w:r>
      <w:r w:rsidRPr="00217CA0">
        <w:rPr>
          <w:spacing w:val="1"/>
          <w:lang w:val="en-GB"/>
        </w:rPr>
        <w:t>h</w:t>
      </w:r>
      <w:r w:rsidRPr="00217CA0">
        <w:rPr>
          <w:lang w:val="en-GB"/>
        </w:rPr>
        <w:t>e</w:t>
      </w:r>
      <w:r w:rsidRPr="00217CA0">
        <w:rPr>
          <w:spacing w:val="-2"/>
          <w:lang w:val="en-GB"/>
        </w:rPr>
        <w:t xml:space="preserve"> </w:t>
      </w:r>
      <w:r w:rsidRPr="00217CA0">
        <w:rPr>
          <w:lang w:val="en-GB"/>
        </w:rPr>
        <w:t>35</w:t>
      </w:r>
      <w:r w:rsidRPr="00217CA0">
        <w:rPr>
          <w:spacing w:val="-2"/>
          <w:lang w:val="en-GB"/>
        </w:rPr>
        <w:t>,</w:t>
      </w:r>
      <w:r w:rsidRPr="00217CA0">
        <w:rPr>
          <w:lang w:val="en-GB"/>
        </w:rPr>
        <w:t>000</w:t>
      </w:r>
      <w:r w:rsidRPr="00217CA0">
        <w:rPr>
          <w:spacing w:val="-2"/>
          <w:lang w:val="en-GB"/>
        </w:rPr>
        <w:t xml:space="preserve"> </w:t>
      </w:r>
      <w:r w:rsidRPr="00217CA0">
        <w:rPr>
          <w:spacing w:val="1"/>
          <w:lang w:val="en-GB"/>
        </w:rPr>
        <w:t>p</w:t>
      </w:r>
      <w:r w:rsidRPr="00217CA0">
        <w:rPr>
          <w:spacing w:val="-2"/>
          <w:lang w:val="en-GB"/>
        </w:rPr>
        <w:t>e</w:t>
      </w:r>
      <w:r w:rsidRPr="00217CA0">
        <w:rPr>
          <w:lang w:val="en-GB"/>
        </w:rPr>
        <w:t>ople l</w:t>
      </w:r>
      <w:r w:rsidRPr="00217CA0">
        <w:rPr>
          <w:spacing w:val="-1"/>
          <w:lang w:val="en-GB"/>
        </w:rPr>
        <w:t>i</w:t>
      </w:r>
      <w:r w:rsidRPr="00217CA0">
        <w:rPr>
          <w:spacing w:val="-3"/>
          <w:lang w:val="en-GB"/>
        </w:rPr>
        <w:t>v</w:t>
      </w:r>
      <w:r w:rsidRPr="00217CA0">
        <w:rPr>
          <w:lang w:val="en-GB"/>
        </w:rPr>
        <w:t>ing</w:t>
      </w:r>
      <w:r w:rsidRPr="00217CA0">
        <w:rPr>
          <w:spacing w:val="1"/>
          <w:lang w:val="en-GB"/>
        </w:rPr>
        <w:t xml:space="preserve"> </w:t>
      </w:r>
      <w:r w:rsidRPr="00217CA0">
        <w:rPr>
          <w:spacing w:val="-3"/>
          <w:lang w:val="en-GB"/>
        </w:rPr>
        <w:t>w</w:t>
      </w:r>
      <w:r w:rsidRPr="00217CA0">
        <w:rPr>
          <w:lang w:val="en-GB"/>
        </w:rPr>
        <w:t>ithin t</w:t>
      </w:r>
      <w:r w:rsidRPr="00217CA0">
        <w:rPr>
          <w:spacing w:val="1"/>
          <w:lang w:val="en-GB"/>
        </w:rPr>
        <w:t>h</w:t>
      </w:r>
      <w:r w:rsidRPr="00217CA0">
        <w:rPr>
          <w:lang w:val="en-GB"/>
        </w:rPr>
        <w:t>e N</w:t>
      </w:r>
      <w:r w:rsidRPr="00217CA0">
        <w:rPr>
          <w:spacing w:val="-2"/>
          <w:lang w:val="en-GB"/>
        </w:rPr>
        <w:t>a</w:t>
      </w:r>
      <w:r w:rsidRPr="00217CA0">
        <w:rPr>
          <w:lang w:val="en-GB"/>
        </w:rPr>
        <w:t>tio</w:t>
      </w:r>
      <w:r w:rsidRPr="00217CA0">
        <w:rPr>
          <w:spacing w:val="-2"/>
          <w:lang w:val="en-GB"/>
        </w:rPr>
        <w:t>n</w:t>
      </w:r>
      <w:r w:rsidRPr="00217CA0">
        <w:rPr>
          <w:lang w:val="en-GB"/>
        </w:rPr>
        <w:t xml:space="preserve">al </w:t>
      </w:r>
      <w:r w:rsidRPr="00217CA0">
        <w:rPr>
          <w:spacing w:val="-2"/>
          <w:lang w:val="en-GB"/>
        </w:rPr>
        <w:t>P</w:t>
      </w:r>
      <w:r w:rsidRPr="00217CA0">
        <w:rPr>
          <w:lang w:val="en-GB"/>
        </w:rPr>
        <w:t>ark.</w:t>
      </w:r>
    </w:p>
    <w:p w14:paraId="7DCA5CBE" w14:textId="77777777" w:rsidR="00011D29" w:rsidRPr="00217CA0" w:rsidRDefault="00011D29" w:rsidP="00011D29">
      <w:pPr>
        <w:spacing w:before="13" w:line="260" w:lineRule="exact"/>
        <w:ind w:left="1276" w:hanging="567"/>
        <w:rPr>
          <w:szCs w:val="24"/>
        </w:rPr>
      </w:pPr>
    </w:p>
    <w:p w14:paraId="5754DC62" w14:textId="0C45EC27" w:rsidR="00011D29" w:rsidRPr="00217CA0" w:rsidRDefault="00011D29" w:rsidP="00011D29">
      <w:pPr>
        <w:widowControl w:val="0"/>
        <w:numPr>
          <w:ilvl w:val="2"/>
          <w:numId w:val="17"/>
        </w:numPr>
        <w:ind w:left="1276" w:right="218" w:hanging="567"/>
        <w:rPr>
          <w:rFonts w:eastAsia="Arial"/>
          <w:szCs w:val="24"/>
        </w:rPr>
      </w:pPr>
      <w:r w:rsidRPr="00217CA0">
        <w:rPr>
          <w:rFonts w:eastAsia="Arial"/>
          <w:i/>
          <w:szCs w:val="24"/>
        </w:rPr>
        <w:t>Sup</w:t>
      </w:r>
      <w:r w:rsidRPr="00217CA0">
        <w:rPr>
          <w:rFonts w:eastAsia="Arial"/>
          <w:i/>
          <w:spacing w:val="-2"/>
          <w:szCs w:val="24"/>
        </w:rPr>
        <w:t>p</w:t>
      </w:r>
      <w:r w:rsidRPr="00217CA0">
        <w:rPr>
          <w:rFonts w:eastAsia="Arial"/>
          <w:i/>
          <w:szCs w:val="24"/>
        </w:rPr>
        <w:t>orting</w:t>
      </w:r>
      <w:r w:rsidRPr="00217CA0">
        <w:rPr>
          <w:rFonts w:eastAsia="Arial"/>
          <w:i/>
          <w:spacing w:val="6"/>
          <w:szCs w:val="24"/>
        </w:rPr>
        <w:t xml:space="preserve"> </w:t>
      </w:r>
      <w:r w:rsidRPr="00217CA0">
        <w:rPr>
          <w:rFonts w:eastAsia="Arial"/>
          <w:i/>
          <w:szCs w:val="24"/>
        </w:rPr>
        <w:t>sus</w:t>
      </w:r>
      <w:r w:rsidRPr="00217CA0">
        <w:rPr>
          <w:rFonts w:eastAsia="Arial"/>
          <w:i/>
          <w:spacing w:val="-2"/>
          <w:szCs w:val="24"/>
        </w:rPr>
        <w:t>t</w:t>
      </w:r>
      <w:r w:rsidRPr="00217CA0">
        <w:rPr>
          <w:rFonts w:eastAsia="Arial"/>
          <w:i/>
          <w:szCs w:val="24"/>
        </w:rPr>
        <w:t>ain</w:t>
      </w:r>
      <w:r w:rsidRPr="00217CA0">
        <w:rPr>
          <w:rFonts w:eastAsia="Arial"/>
          <w:i/>
          <w:spacing w:val="-1"/>
          <w:szCs w:val="24"/>
        </w:rPr>
        <w:t>a</w:t>
      </w:r>
      <w:r w:rsidRPr="00217CA0">
        <w:rPr>
          <w:rFonts w:eastAsia="Arial"/>
          <w:i/>
          <w:szCs w:val="24"/>
        </w:rPr>
        <w:t>ble</w:t>
      </w:r>
      <w:r w:rsidRPr="00217CA0">
        <w:rPr>
          <w:rFonts w:eastAsia="Arial"/>
          <w:i/>
          <w:spacing w:val="5"/>
          <w:szCs w:val="24"/>
        </w:rPr>
        <w:t xml:space="preserve"> </w:t>
      </w:r>
      <w:r w:rsidRPr="00217CA0">
        <w:rPr>
          <w:rFonts w:eastAsia="Arial"/>
          <w:i/>
          <w:szCs w:val="24"/>
        </w:rPr>
        <w:t>t</w:t>
      </w:r>
      <w:r w:rsidRPr="00217CA0">
        <w:rPr>
          <w:rFonts w:eastAsia="Arial"/>
          <w:i/>
          <w:spacing w:val="1"/>
          <w:szCs w:val="24"/>
        </w:rPr>
        <w:t>o</w:t>
      </w:r>
      <w:r w:rsidRPr="00217CA0">
        <w:rPr>
          <w:rFonts w:eastAsia="Arial"/>
          <w:i/>
          <w:szCs w:val="24"/>
        </w:rPr>
        <w:t>ur</w:t>
      </w:r>
      <w:r w:rsidRPr="00217CA0">
        <w:rPr>
          <w:rFonts w:eastAsia="Arial"/>
          <w:i/>
          <w:spacing w:val="-2"/>
          <w:szCs w:val="24"/>
        </w:rPr>
        <w:t>i</w:t>
      </w:r>
      <w:r w:rsidRPr="00217CA0">
        <w:rPr>
          <w:rFonts w:eastAsia="Arial"/>
          <w:i/>
          <w:spacing w:val="3"/>
          <w:szCs w:val="24"/>
        </w:rPr>
        <w:t>s</w:t>
      </w:r>
      <w:r w:rsidRPr="00217CA0">
        <w:rPr>
          <w:rFonts w:eastAsia="Arial"/>
          <w:i/>
          <w:szCs w:val="24"/>
        </w:rPr>
        <w:t>m</w:t>
      </w:r>
      <w:r w:rsidRPr="00217CA0">
        <w:rPr>
          <w:rFonts w:eastAsia="Arial"/>
          <w:i/>
          <w:spacing w:val="4"/>
          <w:szCs w:val="24"/>
        </w:rPr>
        <w:t xml:space="preserve"> </w:t>
      </w:r>
      <w:r w:rsidRPr="00217CA0">
        <w:rPr>
          <w:rFonts w:eastAsia="Arial"/>
          <w:i/>
          <w:szCs w:val="24"/>
        </w:rPr>
        <w:t>and</w:t>
      </w:r>
      <w:r w:rsidRPr="00217CA0">
        <w:rPr>
          <w:rFonts w:eastAsia="Arial"/>
          <w:i/>
          <w:spacing w:val="6"/>
          <w:szCs w:val="24"/>
        </w:rPr>
        <w:t xml:space="preserve"> </w:t>
      </w:r>
      <w:r w:rsidRPr="00217CA0">
        <w:rPr>
          <w:rFonts w:eastAsia="Arial"/>
          <w:i/>
          <w:szCs w:val="24"/>
        </w:rPr>
        <w:t>recre</w:t>
      </w:r>
      <w:r w:rsidRPr="00217CA0">
        <w:rPr>
          <w:rFonts w:eastAsia="Arial"/>
          <w:i/>
          <w:spacing w:val="1"/>
          <w:szCs w:val="24"/>
        </w:rPr>
        <w:t>a</w:t>
      </w:r>
      <w:r w:rsidRPr="00217CA0">
        <w:rPr>
          <w:rFonts w:eastAsia="Arial"/>
          <w:i/>
          <w:szCs w:val="24"/>
        </w:rPr>
        <w:t>t</w:t>
      </w:r>
      <w:r w:rsidRPr="00217CA0">
        <w:rPr>
          <w:rFonts w:eastAsia="Arial"/>
          <w:i/>
          <w:spacing w:val="-3"/>
          <w:szCs w:val="24"/>
        </w:rPr>
        <w:t>i</w:t>
      </w:r>
      <w:r w:rsidRPr="00217CA0">
        <w:rPr>
          <w:rFonts w:eastAsia="Arial"/>
          <w:i/>
          <w:spacing w:val="-2"/>
          <w:szCs w:val="24"/>
        </w:rPr>
        <w:t>o</w:t>
      </w:r>
      <w:r w:rsidRPr="00217CA0">
        <w:rPr>
          <w:rFonts w:eastAsia="Arial"/>
          <w:i/>
          <w:szCs w:val="24"/>
        </w:rPr>
        <w:t>n</w:t>
      </w:r>
      <w:r w:rsidRPr="00217CA0">
        <w:rPr>
          <w:rFonts w:eastAsia="Arial"/>
          <w:i/>
          <w:spacing w:val="5"/>
          <w:szCs w:val="24"/>
        </w:rPr>
        <w:t xml:space="preserve"> </w:t>
      </w:r>
      <w:r w:rsidRPr="00217CA0">
        <w:rPr>
          <w:rFonts w:eastAsia="Arial"/>
          <w:i/>
          <w:spacing w:val="1"/>
          <w:szCs w:val="24"/>
        </w:rPr>
        <w:t>w</w:t>
      </w:r>
      <w:r w:rsidRPr="00217CA0">
        <w:rPr>
          <w:rFonts w:eastAsia="Arial"/>
          <w:i/>
          <w:szCs w:val="24"/>
        </w:rPr>
        <w:t>ithin</w:t>
      </w:r>
      <w:r w:rsidRPr="00217CA0">
        <w:rPr>
          <w:rFonts w:eastAsia="Arial"/>
          <w:i/>
          <w:spacing w:val="5"/>
          <w:szCs w:val="24"/>
        </w:rPr>
        <w:t xml:space="preserve"> </w:t>
      </w:r>
      <w:r w:rsidRPr="00217CA0">
        <w:rPr>
          <w:rFonts w:eastAsia="Arial"/>
          <w:i/>
          <w:szCs w:val="24"/>
        </w:rPr>
        <w:t>t</w:t>
      </w:r>
      <w:r w:rsidRPr="00217CA0">
        <w:rPr>
          <w:rFonts w:eastAsia="Arial"/>
          <w:i/>
          <w:spacing w:val="-1"/>
          <w:szCs w:val="24"/>
        </w:rPr>
        <w:t>h</w:t>
      </w:r>
      <w:r w:rsidRPr="00217CA0">
        <w:rPr>
          <w:rFonts w:eastAsia="Arial"/>
          <w:i/>
          <w:szCs w:val="24"/>
        </w:rPr>
        <w:t>e</w:t>
      </w:r>
      <w:r w:rsidR="006E209E">
        <w:rPr>
          <w:rFonts w:eastAsia="Arial"/>
          <w:i/>
          <w:szCs w:val="24"/>
        </w:rPr>
        <w:t xml:space="preserve"> National</w:t>
      </w:r>
      <w:r w:rsidRPr="00217CA0">
        <w:rPr>
          <w:rFonts w:eastAsia="Arial"/>
          <w:i/>
          <w:spacing w:val="8"/>
          <w:szCs w:val="24"/>
        </w:rPr>
        <w:t xml:space="preserve"> </w:t>
      </w:r>
      <w:r w:rsidRPr="00217CA0">
        <w:rPr>
          <w:rFonts w:eastAsia="Arial"/>
          <w:i/>
          <w:spacing w:val="-2"/>
          <w:szCs w:val="24"/>
        </w:rPr>
        <w:t>P</w:t>
      </w:r>
      <w:r w:rsidRPr="00217CA0">
        <w:rPr>
          <w:rFonts w:eastAsia="Arial"/>
          <w:i/>
          <w:szCs w:val="24"/>
        </w:rPr>
        <w:t>ark</w:t>
      </w:r>
      <w:r w:rsidRPr="00217CA0">
        <w:rPr>
          <w:rFonts w:eastAsia="Arial"/>
          <w:i/>
          <w:spacing w:val="11"/>
          <w:szCs w:val="24"/>
        </w:rPr>
        <w:t xml:space="preserve"> </w:t>
      </w:r>
      <w:r w:rsidRPr="00217CA0">
        <w:rPr>
          <w:rFonts w:eastAsia="Arial"/>
          <w:i/>
          <w:szCs w:val="24"/>
        </w:rPr>
        <w:t>–</w:t>
      </w:r>
      <w:r w:rsidRPr="00217CA0">
        <w:rPr>
          <w:rFonts w:eastAsia="Arial"/>
          <w:i/>
          <w:spacing w:val="6"/>
          <w:szCs w:val="24"/>
        </w:rPr>
        <w:t xml:space="preserve"> </w:t>
      </w:r>
      <w:r w:rsidRPr="00217CA0">
        <w:rPr>
          <w:rFonts w:eastAsia="Arial"/>
          <w:szCs w:val="24"/>
        </w:rPr>
        <w:t>t</w:t>
      </w:r>
      <w:r w:rsidRPr="00217CA0">
        <w:rPr>
          <w:rFonts w:eastAsia="Arial"/>
          <w:spacing w:val="-1"/>
          <w:szCs w:val="24"/>
        </w:rPr>
        <w:t>h</w:t>
      </w:r>
      <w:r w:rsidRPr="00217CA0">
        <w:rPr>
          <w:rFonts w:eastAsia="Arial"/>
          <w:szCs w:val="24"/>
        </w:rPr>
        <w:t>e</w:t>
      </w:r>
      <w:r w:rsidRPr="00217CA0">
        <w:rPr>
          <w:rFonts w:eastAsia="Arial"/>
          <w:spacing w:val="6"/>
          <w:szCs w:val="24"/>
        </w:rPr>
        <w:t xml:space="preserve"> </w:t>
      </w:r>
      <w:r w:rsidRPr="00217CA0">
        <w:rPr>
          <w:rFonts w:eastAsia="Arial"/>
          <w:szCs w:val="24"/>
        </w:rPr>
        <w:t>New Forest</w:t>
      </w:r>
      <w:r w:rsidRPr="00217CA0">
        <w:rPr>
          <w:rFonts w:eastAsia="Arial"/>
          <w:spacing w:val="55"/>
          <w:szCs w:val="24"/>
        </w:rPr>
        <w:t xml:space="preserve"> </w:t>
      </w:r>
      <w:r w:rsidRPr="00217CA0">
        <w:rPr>
          <w:rFonts w:eastAsia="Arial"/>
          <w:szCs w:val="24"/>
        </w:rPr>
        <w:t>attra</w:t>
      </w:r>
      <w:r w:rsidRPr="00217CA0">
        <w:rPr>
          <w:rFonts w:eastAsia="Arial"/>
          <w:spacing w:val="-3"/>
          <w:szCs w:val="24"/>
        </w:rPr>
        <w:t>c</w:t>
      </w:r>
      <w:r w:rsidRPr="00217CA0">
        <w:rPr>
          <w:rFonts w:eastAsia="Arial"/>
          <w:szCs w:val="24"/>
        </w:rPr>
        <w:t>ts</w:t>
      </w:r>
      <w:r w:rsidRPr="00217CA0">
        <w:rPr>
          <w:rFonts w:eastAsia="Arial"/>
          <w:spacing w:val="56"/>
          <w:szCs w:val="24"/>
        </w:rPr>
        <w:t xml:space="preserve"> </w:t>
      </w:r>
      <w:r w:rsidRPr="00217CA0">
        <w:rPr>
          <w:rFonts w:eastAsia="Arial"/>
          <w:spacing w:val="1"/>
          <w:szCs w:val="24"/>
        </w:rPr>
        <w:t>m</w:t>
      </w:r>
      <w:r w:rsidRPr="00217CA0">
        <w:rPr>
          <w:rFonts w:eastAsia="Arial"/>
          <w:szCs w:val="24"/>
        </w:rPr>
        <w:t>i</w:t>
      </w:r>
      <w:r w:rsidRPr="00217CA0">
        <w:rPr>
          <w:rFonts w:eastAsia="Arial"/>
          <w:spacing w:val="-1"/>
          <w:szCs w:val="24"/>
        </w:rPr>
        <w:t>l</w:t>
      </w:r>
      <w:r w:rsidRPr="00217CA0">
        <w:rPr>
          <w:rFonts w:eastAsia="Arial"/>
          <w:szCs w:val="24"/>
        </w:rPr>
        <w:t>l</w:t>
      </w:r>
      <w:r w:rsidRPr="00217CA0">
        <w:rPr>
          <w:rFonts w:eastAsia="Arial"/>
          <w:spacing w:val="-1"/>
          <w:szCs w:val="24"/>
        </w:rPr>
        <w:t>i</w:t>
      </w:r>
      <w:r w:rsidRPr="00217CA0">
        <w:rPr>
          <w:rFonts w:eastAsia="Arial"/>
          <w:szCs w:val="24"/>
        </w:rPr>
        <w:t>o</w:t>
      </w:r>
      <w:r w:rsidRPr="00217CA0">
        <w:rPr>
          <w:rFonts w:eastAsia="Arial"/>
          <w:spacing w:val="-2"/>
          <w:szCs w:val="24"/>
        </w:rPr>
        <w:t>n</w:t>
      </w:r>
      <w:r w:rsidRPr="00217CA0">
        <w:rPr>
          <w:rFonts w:eastAsia="Arial"/>
          <w:szCs w:val="24"/>
        </w:rPr>
        <w:t>s</w:t>
      </w:r>
      <w:r w:rsidRPr="00217CA0">
        <w:rPr>
          <w:rFonts w:eastAsia="Arial"/>
          <w:spacing w:val="55"/>
          <w:szCs w:val="24"/>
        </w:rPr>
        <w:t xml:space="preserve"> </w:t>
      </w:r>
      <w:r w:rsidRPr="00217CA0">
        <w:rPr>
          <w:rFonts w:eastAsia="Arial"/>
          <w:spacing w:val="-2"/>
          <w:szCs w:val="24"/>
        </w:rPr>
        <w:t>o</w:t>
      </w:r>
      <w:r w:rsidRPr="00217CA0">
        <w:rPr>
          <w:rFonts w:eastAsia="Arial"/>
          <w:szCs w:val="24"/>
        </w:rPr>
        <w:t>f</w:t>
      </w:r>
      <w:r w:rsidRPr="00217CA0">
        <w:rPr>
          <w:rFonts w:eastAsia="Arial"/>
          <w:spacing w:val="57"/>
          <w:szCs w:val="24"/>
        </w:rPr>
        <w:t xml:space="preserve"> </w:t>
      </w:r>
      <w:r w:rsidRPr="00217CA0">
        <w:rPr>
          <w:rFonts w:eastAsia="Arial"/>
          <w:spacing w:val="-3"/>
          <w:szCs w:val="24"/>
        </w:rPr>
        <w:t>v</w:t>
      </w:r>
      <w:r w:rsidRPr="00217CA0">
        <w:rPr>
          <w:rFonts w:eastAsia="Arial"/>
          <w:szCs w:val="24"/>
        </w:rPr>
        <w:t>is</w:t>
      </w:r>
      <w:r w:rsidRPr="00217CA0">
        <w:rPr>
          <w:rFonts w:eastAsia="Arial"/>
          <w:spacing w:val="-1"/>
          <w:szCs w:val="24"/>
        </w:rPr>
        <w:t>i</w:t>
      </w:r>
      <w:r w:rsidRPr="00217CA0">
        <w:rPr>
          <w:rFonts w:eastAsia="Arial"/>
          <w:szCs w:val="24"/>
        </w:rPr>
        <w:t>t</w:t>
      </w:r>
      <w:r w:rsidRPr="00217CA0">
        <w:rPr>
          <w:rFonts w:eastAsia="Arial"/>
          <w:spacing w:val="1"/>
          <w:szCs w:val="24"/>
        </w:rPr>
        <w:t>o</w:t>
      </w:r>
      <w:r w:rsidRPr="00217CA0">
        <w:rPr>
          <w:rFonts w:eastAsia="Arial"/>
          <w:szCs w:val="24"/>
        </w:rPr>
        <w:t>rs</w:t>
      </w:r>
      <w:r w:rsidRPr="00217CA0">
        <w:rPr>
          <w:rFonts w:eastAsia="Arial"/>
          <w:spacing w:val="55"/>
          <w:szCs w:val="24"/>
        </w:rPr>
        <w:t xml:space="preserve"> </w:t>
      </w:r>
      <w:r w:rsidRPr="00217CA0">
        <w:rPr>
          <w:rFonts w:eastAsia="Arial"/>
          <w:szCs w:val="24"/>
        </w:rPr>
        <w:t>each</w:t>
      </w:r>
      <w:r w:rsidRPr="00217CA0">
        <w:rPr>
          <w:rFonts w:eastAsia="Arial"/>
          <w:spacing w:val="56"/>
          <w:szCs w:val="24"/>
        </w:rPr>
        <w:t xml:space="preserve"> </w:t>
      </w:r>
      <w:r w:rsidRPr="00217CA0">
        <w:rPr>
          <w:rFonts w:eastAsia="Arial"/>
          <w:spacing w:val="-3"/>
          <w:szCs w:val="24"/>
        </w:rPr>
        <w:t>y</w:t>
      </w:r>
      <w:r w:rsidRPr="00217CA0">
        <w:rPr>
          <w:rFonts w:eastAsia="Arial"/>
          <w:szCs w:val="24"/>
        </w:rPr>
        <w:t>ear</w:t>
      </w:r>
      <w:r w:rsidRPr="00217CA0">
        <w:rPr>
          <w:rFonts w:eastAsia="Arial"/>
          <w:spacing w:val="55"/>
          <w:szCs w:val="24"/>
        </w:rPr>
        <w:t xml:space="preserve"> </w:t>
      </w:r>
      <w:r w:rsidRPr="00217CA0">
        <w:rPr>
          <w:rFonts w:eastAsia="Arial"/>
          <w:szCs w:val="24"/>
        </w:rPr>
        <w:t>and</w:t>
      </w:r>
      <w:r w:rsidRPr="00217CA0">
        <w:rPr>
          <w:rFonts w:eastAsia="Arial"/>
          <w:spacing w:val="55"/>
          <w:szCs w:val="24"/>
        </w:rPr>
        <w:t xml:space="preserve"> </w:t>
      </w:r>
      <w:r w:rsidRPr="00217CA0">
        <w:rPr>
          <w:rFonts w:eastAsia="Arial"/>
          <w:spacing w:val="-2"/>
          <w:szCs w:val="24"/>
        </w:rPr>
        <w:t>t</w:t>
      </w:r>
      <w:r w:rsidRPr="00217CA0">
        <w:rPr>
          <w:rFonts w:eastAsia="Arial"/>
          <w:szCs w:val="24"/>
        </w:rPr>
        <w:t>he</w:t>
      </w:r>
      <w:r w:rsidRPr="00217CA0">
        <w:rPr>
          <w:rFonts w:eastAsia="Arial"/>
          <w:spacing w:val="56"/>
          <w:szCs w:val="24"/>
        </w:rPr>
        <w:t xml:space="preserve"> </w:t>
      </w:r>
      <w:r w:rsidRPr="00217CA0">
        <w:rPr>
          <w:rFonts w:eastAsia="Arial"/>
          <w:spacing w:val="-2"/>
          <w:szCs w:val="24"/>
        </w:rPr>
        <w:t>A</w:t>
      </w:r>
      <w:r w:rsidRPr="00217CA0">
        <w:rPr>
          <w:rFonts w:eastAsia="Arial"/>
          <w:szCs w:val="24"/>
        </w:rPr>
        <w:t>ut</w:t>
      </w:r>
      <w:r w:rsidRPr="00217CA0">
        <w:rPr>
          <w:rFonts w:eastAsia="Arial"/>
          <w:spacing w:val="-1"/>
          <w:szCs w:val="24"/>
        </w:rPr>
        <w:t>h</w:t>
      </w:r>
      <w:r w:rsidRPr="00217CA0">
        <w:rPr>
          <w:rFonts w:eastAsia="Arial"/>
          <w:szCs w:val="24"/>
        </w:rPr>
        <w:t>or</w:t>
      </w:r>
      <w:r w:rsidRPr="00217CA0">
        <w:rPr>
          <w:rFonts w:eastAsia="Arial"/>
          <w:spacing w:val="-2"/>
          <w:szCs w:val="24"/>
        </w:rPr>
        <w:t>i</w:t>
      </w:r>
      <w:r w:rsidRPr="00217CA0">
        <w:rPr>
          <w:rFonts w:eastAsia="Arial"/>
          <w:szCs w:val="24"/>
        </w:rPr>
        <w:t>ty</w:t>
      </w:r>
      <w:r w:rsidRPr="00217CA0">
        <w:rPr>
          <w:rFonts w:eastAsia="Arial"/>
          <w:spacing w:val="56"/>
          <w:szCs w:val="24"/>
        </w:rPr>
        <w:t xml:space="preserve"> </w:t>
      </w:r>
      <w:r w:rsidRPr="00217CA0">
        <w:rPr>
          <w:rFonts w:eastAsia="Arial"/>
          <w:szCs w:val="24"/>
        </w:rPr>
        <w:t>has</w:t>
      </w:r>
      <w:r w:rsidRPr="00217CA0">
        <w:rPr>
          <w:rFonts w:eastAsia="Arial"/>
          <w:spacing w:val="52"/>
          <w:szCs w:val="24"/>
        </w:rPr>
        <w:t xml:space="preserve"> </w:t>
      </w:r>
      <w:r w:rsidRPr="00217CA0">
        <w:rPr>
          <w:rFonts w:eastAsia="Arial"/>
          <w:szCs w:val="24"/>
        </w:rPr>
        <w:t>a st</w:t>
      </w:r>
      <w:r w:rsidRPr="00217CA0">
        <w:rPr>
          <w:rFonts w:eastAsia="Arial"/>
          <w:spacing w:val="1"/>
          <w:szCs w:val="24"/>
        </w:rPr>
        <w:t>a</w:t>
      </w:r>
      <w:r w:rsidRPr="00217CA0">
        <w:rPr>
          <w:rFonts w:eastAsia="Arial"/>
          <w:szCs w:val="24"/>
        </w:rPr>
        <w:t>t</w:t>
      </w:r>
      <w:r w:rsidRPr="00217CA0">
        <w:rPr>
          <w:rFonts w:eastAsia="Arial"/>
          <w:spacing w:val="1"/>
          <w:szCs w:val="24"/>
        </w:rPr>
        <w:t>u</w:t>
      </w:r>
      <w:r w:rsidRPr="00217CA0">
        <w:rPr>
          <w:rFonts w:eastAsia="Arial"/>
          <w:spacing w:val="-2"/>
          <w:szCs w:val="24"/>
        </w:rPr>
        <w:t>t</w:t>
      </w:r>
      <w:r w:rsidRPr="00217CA0">
        <w:rPr>
          <w:rFonts w:eastAsia="Arial"/>
          <w:szCs w:val="24"/>
        </w:rPr>
        <w:t>ory</w:t>
      </w:r>
      <w:r w:rsidRPr="00217CA0">
        <w:rPr>
          <w:rFonts w:eastAsia="Arial"/>
          <w:spacing w:val="39"/>
          <w:szCs w:val="24"/>
        </w:rPr>
        <w:t xml:space="preserve"> </w:t>
      </w:r>
      <w:r w:rsidRPr="00217CA0">
        <w:rPr>
          <w:rFonts w:eastAsia="Arial"/>
          <w:szCs w:val="24"/>
        </w:rPr>
        <w:t>purpose</w:t>
      </w:r>
      <w:r w:rsidRPr="00217CA0">
        <w:rPr>
          <w:rFonts w:eastAsia="Arial"/>
          <w:spacing w:val="42"/>
          <w:szCs w:val="24"/>
        </w:rPr>
        <w:t xml:space="preserve"> </w:t>
      </w:r>
      <w:r w:rsidRPr="00217CA0">
        <w:rPr>
          <w:rFonts w:eastAsia="Arial"/>
          <w:szCs w:val="24"/>
        </w:rPr>
        <w:t>to</w:t>
      </w:r>
      <w:r w:rsidRPr="00217CA0">
        <w:rPr>
          <w:rFonts w:eastAsia="Arial"/>
          <w:spacing w:val="42"/>
          <w:szCs w:val="24"/>
        </w:rPr>
        <w:t xml:space="preserve"> </w:t>
      </w:r>
      <w:r w:rsidRPr="00217CA0">
        <w:rPr>
          <w:rFonts w:eastAsia="Arial"/>
          <w:spacing w:val="-2"/>
          <w:szCs w:val="24"/>
        </w:rPr>
        <w:t>p</w:t>
      </w:r>
      <w:r w:rsidRPr="00217CA0">
        <w:rPr>
          <w:rFonts w:eastAsia="Arial"/>
          <w:szCs w:val="24"/>
        </w:rPr>
        <w:t>ro</w:t>
      </w:r>
      <w:r w:rsidRPr="00217CA0">
        <w:rPr>
          <w:rFonts w:eastAsia="Arial"/>
          <w:spacing w:val="1"/>
          <w:szCs w:val="24"/>
        </w:rPr>
        <w:t>m</w:t>
      </w:r>
      <w:r w:rsidRPr="00217CA0">
        <w:rPr>
          <w:rFonts w:eastAsia="Arial"/>
          <w:szCs w:val="24"/>
        </w:rPr>
        <w:t>o</w:t>
      </w:r>
      <w:r w:rsidRPr="00217CA0">
        <w:rPr>
          <w:rFonts w:eastAsia="Arial"/>
          <w:spacing w:val="-2"/>
          <w:szCs w:val="24"/>
        </w:rPr>
        <w:t>t</w:t>
      </w:r>
      <w:r w:rsidRPr="00217CA0">
        <w:rPr>
          <w:rFonts w:eastAsia="Arial"/>
          <w:szCs w:val="24"/>
        </w:rPr>
        <w:t>e</w:t>
      </w:r>
      <w:r w:rsidRPr="00217CA0">
        <w:rPr>
          <w:rFonts w:eastAsia="Arial"/>
          <w:spacing w:val="43"/>
          <w:szCs w:val="24"/>
        </w:rPr>
        <w:t xml:space="preserve"> </w:t>
      </w:r>
      <w:r w:rsidRPr="00217CA0">
        <w:rPr>
          <w:rFonts w:eastAsia="Arial"/>
          <w:spacing w:val="-2"/>
          <w:szCs w:val="24"/>
        </w:rPr>
        <w:t>t</w:t>
      </w:r>
      <w:r w:rsidRPr="00217CA0">
        <w:rPr>
          <w:rFonts w:eastAsia="Arial"/>
          <w:szCs w:val="24"/>
        </w:rPr>
        <w:t>he</w:t>
      </w:r>
      <w:r w:rsidRPr="00217CA0">
        <w:rPr>
          <w:rFonts w:eastAsia="Arial"/>
          <w:spacing w:val="42"/>
          <w:szCs w:val="24"/>
        </w:rPr>
        <w:t xml:space="preserve"> </w:t>
      </w:r>
      <w:r w:rsidRPr="00217CA0">
        <w:rPr>
          <w:rFonts w:eastAsia="Arial"/>
          <w:szCs w:val="24"/>
        </w:rPr>
        <w:t>u</w:t>
      </w:r>
      <w:r w:rsidRPr="00217CA0">
        <w:rPr>
          <w:rFonts w:eastAsia="Arial"/>
          <w:spacing w:val="-2"/>
          <w:szCs w:val="24"/>
        </w:rPr>
        <w:t>n</w:t>
      </w:r>
      <w:r w:rsidRPr="00217CA0">
        <w:rPr>
          <w:rFonts w:eastAsia="Arial"/>
          <w:szCs w:val="24"/>
        </w:rPr>
        <w:t>derst</w:t>
      </w:r>
      <w:r w:rsidRPr="00217CA0">
        <w:rPr>
          <w:rFonts w:eastAsia="Arial"/>
          <w:spacing w:val="-2"/>
          <w:szCs w:val="24"/>
        </w:rPr>
        <w:t>an</w:t>
      </w:r>
      <w:r w:rsidRPr="00217CA0">
        <w:rPr>
          <w:rFonts w:eastAsia="Arial"/>
          <w:szCs w:val="24"/>
        </w:rPr>
        <w:t>ding</w:t>
      </w:r>
      <w:r w:rsidRPr="00217CA0">
        <w:rPr>
          <w:rFonts w:eastAsia="Arial"/>
          <w:spacing w:val="42"/>
          <w:szCs w:val="24"/>
        </w:rPr>
        <w:t xml:space="preserve"> </w:t>
      </w:r>
      <w:r w:rsidRPr="00217CA0">
        <w:rPr>
          <w:rFonts w:eastAsia="Arial"/>
          <w:szCs w:val="24"/>
        </w:rPr>
        <w:t>and</w:t>
      </w:r>
      <w:r w:rsidRPr="00217CA0">
        <w:rPr>
          <w:rFonts w:eastAsia="Arial"/>
          <w:spacing w:val="42"/>
          <w:szCs w:val="24"/>
        </w:rPr>
        <w:t xml:space="preserve"> </w:t>
      </w:r>
      <w:r w:rsidRPr="00217CA0">
        <w:rPr>
          <w:rFonts w:eastAsia="Arial"/>
          <w:spacing w:val="-2"/>
          <w:szCs w:val="24"/>
        </w:rPr>
        <w:t>e</w:t>
      </w:r>
      <w:r w:rsidRPr="00217CA0">
        <w:rPr>
          <w:rFonts w:eastAsia="Arial"/>
          <w:szCs w:val="24"/>
        </w:rPr>
        <w:t>njo</w:t>
      </w:r>
      <w:r w:rsidRPr="00217CA0">
        <w:rPr>
          <w:rFonts w:eastAsia="Arial"/>
          <w:spacing w:val="-2"/>
          <w:szCs w:val="24"/>
        </w:rPr>
        <w:t>y</w:t>
      </w:r>
      <w:r w:rsidRPr="00217CA0">
        <w:rPr>
          <w:rFonts w:eastAsia="Arial"/>
          <w:spacing w:val="1"/>
          <w:szCs w:val="24"/>
        </w:rPr>
        <w:t>m</w:t>
      </w:r>
      <w:r w:rsidRPr="00217CA0">
        <w:rPr>
          <w:rFonts w:eastAsia="Arial"/>
          <w:szCs w:val="24"/>
        </w:rPr>
        <w:t>ent</w:t>
      </w:r>
      <w:r w:rsidRPr="00217CA0">
        <w:rPr>
          <w:rFonts w:eastAsia="Arial"/>
          <w:spacing w:val="40"/>
          <w:szCs w:val="24"/>
        </w:rPr>
        <w:t xml:space="preserve"> </w:t>
      </w:r>
      <w:r w:rsidRPr="00217CA0">
        <w:rPr>
          <w:rFonts w:eastAsia="Arial"/>
          <w:spacing w:val="-2"/>
          <w:szCs w:val="24"/>
        </w:rPr>
        <w:t>o</w:t>
      </w:r>
      <w:r w:rsidRPr="00217CA0">
        <w:rPr>
          <w:rFonts w:eastAsia="Arial"/>
          <w:szCs w:val="24"/>
        </w:rPr>
        <w:t>f</w:t>
      </w:r>
      <w:r w:rsidRPr="00217CA0">
        <w:rPr>
          <w:rFonts w:eastAsia="Arial"/>
          <w:spacing w:val="44"/>
          <w:szCs w:val="24"/>
        </w:rPr>
        <w:t xml:space="preserve"> </w:t>
      </w:r>
      <w:r w:rsidRPr="00217CA0">
        <w:rPr>
          <w:rFonts w:eastAsia="Arial"/>
          <w:szCs w:val="24"/>
        </w:rPr>
        <w:t>t</w:t>
      </w:r>
      <w:r w:rsidRPr="00217CA0">
        <w:rPr>
          <w:rFonts w:eastAsia="Arial"/>
          <w:spacing w:val="-1"/>
          <w:szCs w:val="24"/>
        </w:rPr>
        <w:t>h</w:t>
      </w:r>
      <w:r w:rsidRPr="00217CA0">
        <w:rPr>
          <w:rFonts w:eastAsia="Arial"/>
          <w:szCs w:val="24"/>
        </w:rPr>
        <w:t>e Park</w:t>
      </w:r>
      <w:r w:rsidRPr="00217CA0">
        <w:rPr>
          <w:rFonts w:eastAsia="Arial"/>
          <w:spacing w:val="-2"/>
          <w:szCs w:val="24"/>
        </w:rPr>
        <w:t>’</w:t>
      </w:r>
      <w:r w:rsidRPr="00217CA0">
        <w:rPr>
          <w:rFonts w:eastAsia="Arial"/>
          <w:szCs w:val="24"/>
        </w:rPr>
        <w:t>s s</w:t>
      </w:r>
      <w:r w:rsidRPr="00217CA0">
        <w:rPr>
          <w:rFonts w:eastAsia="Arial"/>
          <w:spacing w:val="1"/>
          <w:szCs w:val="24"/>
        </w:rPr>
        <w:t>p</w:t>
      </w:r>
      <w:r w:rsidRPr="00217CA0">
        <w:rPr>
          <w:rFonts w:eastAsia="Arial"/>
          <w:szCs w:val="24"/>
        </w:rPr>
        <w:t xml:space="preserve">ecial </w:t>
      </w:r>
      <w:r w:rsidRPr="00217CA0">
        <w:rPr>
          <w:rFonts w:eastAsia="Arial"/>
          <w:spacing w:val="-1"/>
          <w:szCs w:val="24"/>
        </w:rPr>
        <w:t>q</w:t>
      </w:r>
      <w:r w:rsidRPr="00217CA0">
        <w:rPr>
          <w:rFonts w:eastAsia="Arial"/>
          <w:szCs w:val="24"/>
        </w:rPr>
        <w:t>ual</w:t>
      </w:r>
      <w:r w:rsidRPr="00217CA0">
        <w:rPr>
          <w:rFonts w:eastAsia="Arial"/>
          <w:spacing w:val="-1"/>
          <w:szCs w:val="24"/>
        </w:rPr>
        <w:t>i</w:t>
      </w:r>
      <w:r w:rsidRPr="00217CA0">
        <w:rPr>
          <w:rFonts w:eastAsia="Arial"/>
          <w:szCs w:val="24"/>
        </w:rPr>
        <w:t>tie</w:t>
      </w:r>
      <w:r w:rsidRPr="00217CA0">
        <w:rPr>
          <w:rFonts w:eastAsia="Arial"/>
          <w:spacing w:val="-3"/>
          <w:szCs w:val="24"/>
        </w:rPr>
        <w:t>s</w:t>
      </w:r>
      <w:r w:rsidRPr="00217CA0">
        <w:rPr>
          <w:rFonts w:eastAsia="Arial"/>
          <w:szCs w:val="24"/>
        </w:rPr>
        <w:t>.</w:t>
      </w:r>
    </w:p>
    <w:p w14:paraId="6D978313" w14:textId="77777777" w:rsidR="00011D29" w:rsidRPr="00217CA0" w:rsidRDefault="00011D29" w:rsidP="00011D29">
      <w:pPr>
        <w:widowControl w:val="0"/>
        <w:ind w:left="1276" w:right="120"/>
        <w:jc w:val="both"/>
        <w:rPr>
          <w:rFonts w:eastAsia="Arial"/>
          <w:szCs w:val="24"/>
        </w:rPr>
      </w:pPr>
    </w:p>
    <w:p w14:paraId="688C6A2F" w14:textId="77777777" w:rsidR="00011D29" w:rsidRPr="00217CA0" w:rsidRDefault="00011D29" w:rsidP="00011D29"/>
    <w:p w14:paraId="6DD277B2" w14:textId="77777777" w:rsidR="00011D29" w:rsidRPr="00217CA0" w:rsidRDefault="00011D29" w:rsidP="00011D29"/>
    <w:p w14:paraId="3E46D3B6" w14:textId="77777777" w:rsidR="00011D29" w:rsidRPr="00217CA0" w:rsidRDefault="00011D29" w:rsidP="00011D29"/>
    <w:p w14:paraId="3E34C442" w14:textId="77777777" w:rsidR="00011D29" w:rsidRPr="00217CA0" w:rsidRDefault="00011D29" w:rsidP="00011D29"/>
    <w:p w14:paraId="0959FB56" w14:textId="77777777" w:rsidR="00011D29" w:rsidRPr="00217CA0" w:rsidRDefault="00011D29" w:rsidP="00011D29"/>
    <w:p w14:paraId="5C0BC02C" w14:textId="77777777" w:rsidR="00011D29" w:rsidRPr="00217CA0" w:rsidRDefault="00011D29" w:rsidP="00011D29"/>
    <w:p w14:paraId="49D83F16" w14:textId="77777777" w:rsidR="00011D29" w:rsidRPr="00217CA0" w:rsidRDefault="00011D29" w:rsidP="00011D29">
      <w:pPr>
        <w:rPr>
          <w:b/>
          <w:sz w:val="28"/>
          <w:szCs w:val="28"/>
        </w:rPr>
      </w:pPr>
      <w:r w:rsidRPr="00217CA0">
        <w:rPr>
          <w:b/>
          <w:sz w:val="28"/>
          <w:szCs w:val="28"/>
        </w:rPr>
        <w:br w:type="page"/>
      </w:r>
    </w:p>
    <w:p w14:paraId="07F90670" w14:textId="77777777" w:rsidR="00011D29" w:rsidRPr="00877DE1" w:rsidRDefault="00011D29" w:rsidP="00011D29">
      <w:pPr>
        <w:pStyle w:val="Heading1"/>
      </w:pPr>
      <w:bookmarkStart w:id="5" w:name="_Toc92364673"/>
      <w:r w:rsidRPr="00877DE1">
        <w:lastRenderedPageBreak/>
        <w:t>3.</w:t>
      </w:r>
      <w:r w:rsidRPr="00877DE1">
        <w:tab/>
      </w:r>
      <w:r w:rsidRPr="00877DE1">
        <w:rPr>
          <w:rStyle w:val="Heading1Char"/>
          <w:b/>
          <w:bCs/>
        </w:rPr>
        <w:t>Local Development Scheme</w:t>
      </w:r>
      <w:bookmarkEnd w:id="5"/>
    </w:p>
    <w:p w14:paraId="7778A930" w14:textId="77777777" w:rsidR="00011D29" w:rsidRPr="00217CA0" w:rsidRDefault="00011D29" w:rsidP="00011D29"/>
    <w:p w14:paraId="6AFF809C" w14:textId="77777777" w:rsidR="00011D29" w:rsidRPr="00217CA0" w:rsidRDefault="00011D29" w:rsidP="00011D29">
      <w:pPr>
        <w:numPr>
          <w:ilvl w:val="1"/>
          <w:numId w:val="5"/>
        </w:numPr>
        <w:tabs>
          <w:tab w:val="clear" w:pos="360"/>
        </w:tabs>
        <w:suppressAutoHyphens/>
        <w:ind w:left="567" w:right="-164" w:hanging="567"/>
      </w:pPr>
      <w:r w:rsidRPr="008B5A5D">
        <w:t>The</w:t>
      </w:r>
      <w:r w:rsidRPr="00217CA0">
        <w:t xml:space="preserve"> Authority’s Local Development Scheme (LDS) is a publicly available document setting out a schedule of what local development documents will be produced, and the timescales.  The latest LDS for the New Forest National Park Authority was brought into effect on </w:t>
      </w:r>
      <w:r>
        <w:t>25 July 2024 and</w:t>
      </w:r>
      <w:r w:rsidRPr="00217CA0">
        <w:t xml:space="preserve"> sets out the details and timetable for the preparation of the </w:t>
      </w:r>
      <w:r>
        <w:t xml:space="preserve">review of the </w:t>
      </w:r>
      <w:r w:rsidRPr="00217CA0">
        <w:t>Authority’s adopted Local Plan.</w:t>
      </w:r>
      <w:r>
        <w:t xml:space="preserve"> </w:t>
      </w:r>
    </w:p>
    <w:p w14:paraId="66F5C958" w14:textId="77777777" w:rsidR="00011D29" w:rsidRPr="00217CA0" w:rsidRDefault="00011D29" w:rsidP="00011D29"/>
    <w:p w14:paraId="7E3A2BBA" w14:textId="77777777" w:rsidR="00011D29" w:rsidRPr="00217CA0" w:rsidRDefault="00011D29" w:rsidP="00011D29">
      <w:pPr>
        <w:pStyle w:val="Heading2"/>
        <w:ind w:firstLine="567"/>
      </w:pPr>
      <w:r w:rsidRPr="00217CA0">
        <w:t xml:space="preserve">Implementation of the Local Development Scheme </w:t>
      </w:r>
    </w:p>
    <w:p w14:paraId="18AC7AF4" w14:textId="77777777" w:rsidR="00011D29" w:rsidRPr="00217CA0" w:rsidRDefault="00011D29" w:rsidP="00011D29">
      <w:pPr>
        <w:rPr>
          <w:sz w:val="18"/>
          <w:szCs w:val="10"/>
        </w:rPr>
      </w:pPr>
    </w:p>
    <w:p w14:paraId="2BF5AA33" w14:textId="77777777" w:rsidR="00011D29" w:rsidRPr="00217CA0" w:rsidRDefault="00011D29" w:rsidP="00011D29">
      <w:pPr>
        <w:numPr>
          <w:ilvl w:val="1"/>
          <w:numId w:val="5"/>
        </w:numPr>
        <w:tabs>
          <w:tab w:val="clear" w:pos="360"/>
        </w:tabs>
        <w:suppressAutoHyphens/>
        <w:ind w:left="567" w:right="-164" w:hanging="567"/>
      </w:pPr>
      <w:r w:rsidRPr="008B5A5D">
        <w:t>Local</w:t>
      </w:r>
      <w:r w:rsidRPr="00217CA0">
        <w:t xml:space="preserve"> planning authorities are required to set out in their monitoring report information on the implementation of their Local Development Scheme (LDS).</w:t>
      </w:r>
      <w:r>
        <w:t xml:space="preserve"> The timetable for the review of the Local Plan is set out and commences with a non-statutory period of public consultation on the overarching issues and scope of the Local Plan review in February 2025. There is no longer a requirement to set out the timetable </w:t>
      </w:r>
      <w:proofErr w:type="gramStart"/>
      <w:r>
        <w:t>for the production of</w:t>
      </w:r>
      <w:proofErr w:type="gramEnd"/>
      <w:r>
        <w:t xml:space="preserve"> supplementary planning documents within the LDS. Neighbourhood plans are initiated by local communities, rather than the National Park Authority, and so do not feature within the LDS.  </w:t>
      </w:r>
    </w:p>
    <w:p w14:paraId="0A8F2BEA" w14:textId="77777777" w:rsidR="00011D29" w:rsidRPr="00217CA0" w:rsidRDefault="00011D29" w:rsidP="00011D29">
      <w:pPr>
        <w:suppressAutoHyphens/>
        <w:ind w:left="360" w:right="-164"/>
        <w:jc w:val="both"/>
      </w:pPr>
    </w:p>
    <w:p w14:paraId="31946B21" w14:textId="77777777" w:rsidR="00011D29" w:rsidRPr="006F244B" w:rsidRDefault="00011D29" w:rsidP="00011D29">
      <w:pPr>
        <w:pStyle w:val="Heading3"/>
        <w:rPr>
          <w:color w:val="auto"/>
        </w:rPr>
      </w:pPr>
      <w:r w:rsidRPr="006F244B">
        <w:rPr>
          <w:color w:val="auto"/>
        </w:rPr>
        <w:t>Hampshire and New Forest National Park Minerals and Waste LDS</w:t>
      </w:r>
    </w:p>
    <w:p w14:paraId="25DE9088" w14:textId="77777777" w:rsidR="00011D29" w:rsidRPr="00217CA0" w:rsidRDefault="00011D29" w:rsidP="00011D29">
      <w:pPr>
        <w:jc w:val="both"/>
        <w:rPr>
          <w:sz w:val="18"/>
          <w:szCs w:val="10"/>
        </w:rPr>
      </w:pPr>
    </w:p>
    <w:p w14:paraId="665B6614" w14:textId="77777777" w:rsidR="00011D29" w:rsidRPr="00217CA0" w:rsidRDefault="00011D29" w:rsidP="00011D29">
      <w:pPr>
        <w:numPr>
          <w:ilvl w:val="1"/>
          <w:numId w:val="5"/>
        </w:numPr>
        <w:tabs>
          <w:tab w:val="clear" w:pos="360"/>
        </w:tabs>
        <w:suppressAutoHyphens/>
        <w:ind w:left="567" w:right="-23" w:hanging="567"/>
      </w:pPr>
      <w:r w:rsidRPr="008B5A5D">
        <w:t>The</w:t>
      </w:r>
      <w:r w:rsidRPr="00217CA0">
        <w:t xml:space="preserve"> National Park Authority together with Hampshire County Council, Portsmouth and Southampton City Councils and the South Downs National Park Authority, adopted the Hampshire Minerals and Waste Plan in October 2013, covering Hampshire and the whole of the New Forest National Park. This incorporates minerals and waste development management policies and strategic minerals and waste site allocations. </w:t>
      </w:r>
    </w:p>
    <w:p w14:paraId="5B6801B4" w14:textId="77777777" w:rsidR="00011D29" w:rsidRPr="00217CA0" w:rsidRDefault="00011D29" w:rsidP="00011D29">
      <w:pPr>
        <w:suppressAutoHyphens/>
        <w:ind w:left="567" w:hanging="567"/>
      </w:pPr>
    </w:p>
    <w:p w14:paraId="40163A92" w14:textId="50498AB1" w:rsidR="00011D29" w:rsidRPr="00217CA0" w:rsidRDefault="00011D29" w:rsidP="00011D29">
      <w:pPr>
        <w:numPr>
          <w:ilvl w:val="1"/>
          <w:numId w:val="5"/>
        </w:numPr>
        <w:tabs>
          <w:tab w:val="clear" w:pos="360"/>
        </w:tabs>
        <w:suppressAutoHyphens/>
        <w:ind w:left="567" w:right="-23" w:hanging="567"/>
      </w:pPr>
      <w:r w:rsidRPr="008B5A5D">
        <w:t>The</w:t>
      </w:r>
      <w:r w:rsidRPr="00217CA0">
        <w:t xml:space="preserve"> Hampshire Minerals and Waste LDS </w:t>
      </w:r>
      <w:proofErr w:type="gramStart"/>
      <w:r w:rsidRPr="00217CA0">
        <w:t>sets</w:t>
      </w:r>
      <w:proofErr w:type="gramEnd"/>
      <w:r w:rsidRPr="00217CA0">
        <w:t xml:space="preserve"> out the timetable for the production and review of any scheduled minerals and waste planning documents. The latest LDS was brought into effect in </w:t>
      </w:r>
      <w:r w:rsidR="004C544D">
        <w:t>March</w:t>
      </w:r>
      <w:r w:rsidRPr="00217CA0">
        <w:t xml:space="preserve"> 202</w:t>
      </w:r>
      <w:r w:rsidR="004C544D">
        <w:t>5</w:t>
      </w:r>
      <w:r w:rsidR="003757DE">
        <w:t xml:space="preserve"> and </w:t>
      </w:r>
      <w:r w:rsidR="00337903">
        <w:t xml:space="preserve">sets out an updated timetable for the </w:t>
      </w:r>
      <w:r w:rsidR="00017DA6">
        <w:t>adoption, monitoring and review of the M</w:t>
      </w:r>
      <w:r w:rsidRPr="00217CA0">
        <w:t>inerals and Waste Plan.</w:t>
      </w:r>
    </w:p>
    <w:p w14:paraId="478C00B7" w14:textId="77777777" w:rsidR="00011D29" w:rsidRPr="00217CA0" w:rsidRDefault="00011D29" w:rsidP="00782AB7"/>
    <w:p w14:paraId="61044352" w14:textId="7EBB6762" w:rsidR="00011D29" w:rsidRDefault="00DB76B9" w:rsidP="00011D29">
      <w:pPr>
        <w:numPr>
          <w:ilvl w:val="1"/>
          <w:numId w:val="5"/>
        </w:numPr>
        <w:tabs>
          <w:tab w:val="clear" w:pos="360"/>
        </w:tabs>
        <w:suppressAutoHyphens/>
        <w:ind w:left="567" w:right="-164" w:hanging="578"/>
      </w:pPr>
      <w:r w:rsidRPr="008B5A5D">
        <w:t>The</w:t>
      </w:r>
      <w:r w:rsidRPr="00DB76B9">
        <w:t xml:space="preserve"> Hampshire Minerals and Waste Plan: Partial Update was submitted to the Secretary of State for independent examination in July 2024</w:t>
      </w:r>
      <w:r>
        <w:t xml:space="preserve">. </w:t>
      </w:r>
      <w:r w:rsidR="003820D5" w:rsidRPr="003820D5">
        <w:t>Examination hearings were held between 4 and 13 February 2025, with an additional hearing being held on 9 September 2025 regarding the Purple Haze proposed allocation.</w:t>
      </w:r>
    </w:p>
    <w:p w14:paraId="67A4A58B" w14:textId="77777777" w:rsidR="009307B1" w:rsidRDefault="009307B1" w:rsidP="009307B1">
      <w:pPr>
        <w:pStyle w:val="ListParagraph"/>
      </w:pPr>
    </w:p>
    <w:p w14:paraId="0047C1A2" w14:textId="5BB36D34" w:rsidR="00011D29" w:rsidRPr="00217CA0" w:rsidRDefault="009E190B" w:rsidP="008F4ED5">
      <w:pPr>
        <w:numPr>
          <w:ilvl w:val="1"/>
          <w:numId w:val="5"/>
        </w:numPr>
        <w:tabs>
          <w:tab w:val="clear" w:pos="360"/>
        </w:tabs>
        <w:suppressAutoHyphens/>
        <w:ind w:left="567" w:right="-164" w:hanging="578"/>
      </w:pPr>
      <w:r w:rsidRPr="008B5A5D">
        <w:t>A</w:t>
      </w:r>
      <w:r>
        <w:t xml:space="preserve"> schedule of p</w:t>
      </w:r>
      <w:r w:rsidR="009307B1" w:rsidRPr="009307B1">
        <w:t>roposed modifications to the Submission Plan</w:t>
      </w:r>
      <w:r>
        <w:t xml:space="preserve"> has been published by the partner Authorities</w:t>
      </w:r>
      <w:r w:rsidR="009307B1" w:rsidRPr="009307B1">
        <w:t xml:space="preserve">, which are considered necessary to make the Plan legally compliant and/or sound. The Proposed Main Modifications and Policies Map Changes </w:t>
      </w:r>
      <w:r w:rsidR="00F32407">
        <w:t>were subject to consultation between December 2025 and February 2026</w:t>
      </w:r>
      <w:r w:rsidR="00D72376">
        <w:t>.</w:t>
      </w:r>
      <w:r w:rsidR="009307B1" w:rsidRPr="009307B1">
        <w:t xml:space="preserve"> </w:t>
      </w:r>
      <w:r w:rsidR="00596FD1">
        <w:t>All representations received were passed onto the Planning Inspector for consideration and in April 2026 the Inspector’s Report was received confirming that the Plan is sound</w:t>
      </w:r>
      <w:r w:rsidR="008A4DA5">
        <w:t>, subject to the modifications,</w:t>
      </w:r>
      <w:r w:rsidR="00596FD1">
        <w:t xml:space="preserve"> and can be adopted by the partner authorities.</w:t>
      </w:r>
    </w:p>
    <w:p w14:paraId="5BDC232A" w14:textId="77777777" w:rsidR="00011D29" w:rsidRPr="00217CA0" w:rsidRDefault="00011D29" w:rsidP="00011D29">
      <w:pPr>
        <w:pStyle w:val="Heading1"/>
        <w:rPr>
          <w:szCs w:val="28"/>
        </w:rPr>
      </w:pPr>
      <w:bookmarkStart w:id="6" w:name="_Toc92364674"/>
      <w:r w:rsidRPr="00217CA0">
        <w:rPr>
          <w:szCs w:val="28"/>
        </w:rPr>
        <w:lastRenderedPageBreak/>
        <w:t>4.</w:t>
      </w:r>
      <w:r w:rsidRPr="00217CA0">
        <w:rPr>
          <w:szCs w:val="28"/>
        </w:rPr>
        <w:tab/>
      </w:r>
      <w:r w:rsidRPr="00217CA0">
        <w:rPr>
          <w:rStyle w:val="Heading1Char"/>
          <w:b/>
          <w:bCs/>
        </w:rPr>
        <w:t>Protecting and Enhancing the Natural Environment</w:t>
      </w:r>
      <w:bookmarkEnd w:id="6"/>
    </w:p>
    <w:p w14:paraId="273DEEC2" w14:textId="77777777" w:rsidR="00011D29" w:rsidRDefault="00011D29" w:rsidP="00011D29"/>
    <w:p w14:paraId="0DFD4AF1" w14:textId="77777777" w:rsidR="00011D29" w:rsidRPr="001F12D1" w:rsidRDefault="00011D29" w:rsidP="00011D29">
      <w:pPr>
        <w:shd w:val="clear" w:color="auto" w:fill="D9D9D9" w:themeFill="background1" w:themeFillShade="D9"/>
        <w:rPr>
          <w:b/>
          <w:bCs/>
        </w:rPr>
      </w:pPr>
      <w:r w:rsidRPr="001F12D1">
        <w:rPr>
          <w:b/>
          <w:bCs/>
        </w:rPr>
        <w:t>New Forest National Park Partnership Plan Objective 1</w:t>
      </w:r>
    </w:p>
    <w:p w14:paraId="4930B772" w14:textId="77777777" w:rsidR="00011D29" w:rsidRPr="001F12D1" w:rsidRDefault="00011D29" w:rsidP="00011D29">
      <w:pPr>
        <w:shd w:val="clear" w:color="auto" w:fill="D9D9D9" w:themeFill="background1" w:themeFillShade="D9"/>
      </w:pPr>
      <w:r w:rsidRPr="00CD1B09">
        <w:t>Net Zero with Nature (NZWN) – significant cuts in land-based carbon emissions are secured through restoring natural habitats and enabling carbon capture</w:t>
      </w:r>
      <w:r w:rsidRPr="001F12D1">
        <w:t>.</w:t>
      </w:r>
    </w:p>
    <w:p w14:paraId="6CFA7D95" w14:textId="77777777" w:rsidR="00011D29" w:rsidRPr="001F12D1" w:rsidRDefault="00011D29" w:rsidP="00011D29">
      <w:pPr>
        <w:shd w:val="clear" w:color="auto" w:fill="D9D9D9" w:themeFill="background1" w:themeFillShade="D9"/>
        <w:rPr>
          <w:b/>
          <w:bCs/>
        </w:rPr>
      </w:pPr>
    </w:p>
    <w:p w14:paraId="60B0AFEB" w14:textId="77777777" w:rsidR="00011D29" w:rsidRPr="001F12D1" w:rsidRDefault="00011D29" w:rsidP="00011D29">
      <w:pPr>
        <w:shd w:val="clear" w:color="auto" w:fill="D9D9D9" w:themeFill="background1" w:themeFillShade="D9"/>
        <w:rPr>
          <w:b/>
          <w:bCs/>
        </w:rPr>
      </w:pPr>
      <w:r w:rsidRPr="001F12D1">
        <w:rPr>
          <w:b/>
          <w:bCs/>
        </w:rPr>
        <w:t>New Forest National Park Partnership Plan Objective 2</w:t>
      </w:r>
    </w:p>
    <w:p w14:paraId="7559AEB2" w14:textId="77777777" w:rsidR="00011D29" w:rsidRPr="005B310B" w:rsidRDefault="00011D29" w:rsidP="00011D29">
      <w:pPr>
        <w:shd w:val="clear" w:color="auto" w:fill="D9D9D9" w:themeFill="background1" w:themeFillShade="D9"/>
      </w:pPr>
      <w:r w:rsidRPr="005B310B">
        <w:t>Nature Recovery – habitats are more resilient, restored, expanded, connected and maintained to enable wildlife to thrive, both within and around the National Park</w:t>
      </w:r>
      <w:r w:rsidRPr="001F12D1">
        <w:t>.</w:t>
      </w:r>
    </w:p>
    <w:p w14:paraId="0C8FEB30" w14:textId="77777777" w:rsidR="00011D29" w:rsidRPr="00217CA0" w:rsidRDefault="00011D29" w:rsidP="00011D29"/>
    <w:p w14:paraId="083E421E" w14:textId="77777777" w:rsidR="00011D29" w:rsidRPr="00217CA0" w:rsidRDefault="00011D29" w:rsidP="00011D29">
      <w:pPr>
        <w:pStyle w:val="ListParagraph"/>
        <w:shd w:val="clear" w:color="auto" w:fill="D9D9D9" w:themeFill="background1" w:themeFillShade="D9"/>
        <w:ind w:left="0"/>
        <w:jc w:val="both"/>
      </w:pPr>
      <w:r w:rsidRPr="00217CA0">
        <w:rPr>
          <w:b/>
          <w:bCs/>
        </w:rPr>
        <w:t>Local Plan Strategic Objective 1</w:t>
      </w:r>
      <w:r w:rsidRPr="00217CA0">
        <w:t>: Policies SP4, SP5, SP6, SP7, DP8, SP9, DP13, SP15</w:t>
      </w:r>
    </w:p>
    <w:p w14:paraId="577B3CC8" w14:textId="77777777" w:rsidR="00011D29" w:rsidRPr="00217CA0" w:rsidRDefault="00011D29" w:rsidP="00011D29">
      <w:pPr>
        <w:shd w:val="clear" w:color="auto" w:fill="D9D9D9" w:themeFill="background1" w:themeFillShade="D9"/>
      </w:pPr>
      <w:r w:rsidRPr="00217CA0">
        <w:t>Protect and enhance the natural environment of the National Park, including the natural beauty of the landscape and the range of habitats and species.</w:t>
      </w:r>
    </w:p>
    <w:p w14:paraId="2DD7B43A" w14:textId="77777777" w:rsidR="00011D29" w:rsidRPr="00217CA0" w:rsidRDefault="00011D29" w:rsidP="00011D29">
      <w:pPr>
        <w:shd w:val="clear" w:color="auto" w:fill="D9D9D9" w:themeFill="background1" w:themeFillShade="D9"/>
      </w:pPr>
    </w:p>
    <w:p w14:paraId="4729DA4E" w14:textId="77777777" w:rsidR="00011D29" w:rsidRPr="00217CA0" w:rsidRDefault="00011D29" w:rsidP="00011D29">
      <w:pPr>
        <w:shd w:val="clear" w:color="auto" w:fill="D9D9D9" w:themeFill="background1" w:themeFillShade="D9"/>
      </w:pPr>
      <w:r w:rsidRPr="00217CA0">
        <w:rPr>
          <w:b/>
          <w:bCs/>
        </w:rPr>
        <w:t>Local Plan Strategic Objective 3</w:t>
      </w:r>
      <w:r w:rsidRPr="00217CA0">
        <w:t>: Policies SP11, DP12, DP13, SP14</w:t>
      </w:r>
    </w:p>
    <w:p w14:paraId="2BA8B5E2" w14:textId="77777777" w:rsidR="00011D29" w:rsidRPr="00217CA0" w:rsidRDefault="00011D29" w:rsidP="00011D29">
      <w:pPr>
        <w:shd w:val="clear" w:color="auto" w:fill="D9D9D9" w:themeFill="background1" w:themeFillShade="D9"/>
      </w:pPr>
      <w:r w:rsidRPr="00217CA0">
        <w:t>Plan for the likely impacts of climate change on the special qualities of the New Forest.</w:t>
      </w:r>
    </w:p>
    <w:p w14:paraId="025666E3" w14:textId="77777777" w:rsidR="00011D29" w:rsidRPr="00217CA0" w:rsidRDefault="00011D29" w:rsidP="00011D29">
      <w:pPr>
        <w:jc w:val="both"/>
      </w:pPr>
    </w:p>
    <w:p w14:paraId="47B5C664" w14:textId="77777777" w:rsidR="00011D29" w:rsidRPr="00217CA0" w:rsidRDefault="00011D29" w:rsidP="00011D29">
      <w:pPr>
        <w:pStyle w:val="ListParagraph"/>
        <w:numPr>
          <w:ilvl w:val="0"/>
          <w:numId w:val="9"/>
        </w:numPr>
        <w:ind w:left="567" w:hanging="567"/>
      </w:pPr>
      <w:r w:rsidRPr="008B5A5D">
        <w:t>The</w:t>
      </w:r>
      <w:r w:rsidRPr="00217CA0">
        <w:t xml:space="preserve"> planning policies for the National Park in the Local Plan place a strong emphasis on protection of the natural environment. The policies reflect that the New Forest National Park has one of the highest proportion of areas covered by nature conservation designations of any local planning authority in </w:t>
      </w:r>
      <w:proofErr w:type="gramStart"/>
      <w:r w:rsidRPr="00217CA0">
        <w:t>England, and</w:t>
      </w:r>
      <w:proofErr w:type="gramEnd"/>
      <w:r w:rsidRPr="00217CA0">
        <w:t xml:space="preserve"> is under intense pressure from development in surrounding areas. These challenges are enshrined in the objectives of the Local Plan, as set out above, and reflect the first statutory National Park purpose.</w:t>
      </w:r>
    </w:p>
    <w:p w14:paraId="2388BF73" w14:textId="77777777" w:rsidR="00011D29" w:rsidRPr="00217CA0" w:rsidRDefault="00011D29" w:rsidP="00011D29">
      <w:pPr>
        <w:pStyle w:val="ListParagraph"/>
        <w:ind w:left="709"/>
      </w:pPr>
    </w:p>
    <w:p w14:paraId="50257671" w14:textId="77777777" w:rsidR="00011D29" w:rsidRPr="00217CA0" w:rsidRDefault="00011D29" w:rsidP="00011D29">
      <w:pPr>
        <w:pStyle w:val="Heading2"/>
        <w:spacing w:before="0"/>
        <w:ind w:firstLine="567"/>
      </w:pPr>
      <w:r w:rsidRPr="00217CA0">
        <w:t>Natural environment</w:t>
      </w:r>
    </w:p>
    <w:p w14:paraId="483DBAD2" w14:textId="77777777" w:rsidR="00011D29" w:rsidRPr="00217CA0" w:rsidRDefault="00011D29" w:rsidP="00011D29">
      <w:pPr>
        <w:rPr>
          <w:highlight w:val="yellow"/>
        </w:rPr>
      </w:pPr>
    </w:p>
    <w:p w14:paraId="0334E81A" w14:textId="77777777" w:rsidR="00011D29" w:rsidRPr="00217CA0" w:rsidRDefault="00011D29" w:rsidP="00011D29">
      <w:pPr>
        <w:pStyle w:val="Heading4"/>
        <w:spacing w:before="0"/>
      </w:pPr>
      <w:r w:rsidRPr="00217CA0">
        <w:t>Priority habitats and species</w:t>
      </w:r>
    </w:p>
    <w:p w14:paraId="1FB8F0CF" w14:textId="77777777" w:rsidR="00011D29" w:rsidRPr="00217CA0" w:rsidRDefault="00011D29" w:rsidP="00011D29">
      <w:pPr>
        <w:pStyle w:val="ListParagraph"/>
        <w:ind w:left="709"/>
      </w:pPr>
    </w:p>
    <w:p w14:paraId="14FAF3FF" w14:textId="03D3F888" w:rsidR="00011D29" w:rsidRPr="00217CA0" w:rsidRDefault="00011D29" w:rsidP="00011D29">
      <w:pPr>
        <w:pStyle w:val="ListParagraph"/>
        <w:numPr>
          <w:ilvl w:val="0"/>
          <w:numId w:val="9"/>
        </w:numPr>
        <w:ind w:left="567" w:hanging="567"/>
      </w:pPr>
      <w:r w:rsidRPr="008B5A5D">
        <w:t>The</w:t>
      </w:r>
      <w:r w:rsidRPr="00217CA0">
        <w:t xml:space="preserve"> amount of Biodiversity Action Plan (BAP) Priority Habitat in the National Park totals 30,</w:t>
      </w:r>
      <w:r w:rsidR="006B49CC">
        <w:t>881</w:t>
      </w:r>
      <w:r w:rsidRPr="00217CA0">
        <w:t xml:space="preserve"> hectares (as </w:t>
      </w:r>
      <w:proofErr w:type="gramStart"/>
      <w:r w:rsidRPr="00217CA0">
        <w:t>at</w:t>
      </w:r>
      <w:proofErr w:type="gramEnd"/>
      <w:r w:rsidRPr="00217CA0">
        <w:t xml:space="preserve"> 31 March 202</w:t>
      </w:r>
      <w:r w:rsidR="005C09EA">
        <w:t>5</w:t>
      </w:r>
      <w:r w:rsidRPr="00217CA0">
        <w:t xml:space="preserve">), which represents a small </w:t>
      </w:r>
      <w:r>
        <w:t>in</w:t>
      </w:r>
      <w:r w:rsidRPr="00217CA0">
        <w:t>crease of 0.</w:t>
      </w:r>
      <w:r w:rsidR="00890056">
        <w:t>48</w:t>
      </w:r>
      <w:r w:rsidRPr="00217CA0">
        <w:t>% of the total priority habitat in the National Park since last year’s monitoring report.</w:t>
      </w:r>
      <w:r w:rsidR="00731AA4">
        <w:t xml:space="preserve"> Th</w:t>
      </w:r>
      <w:r w:rsidR="005F33EB">
        <w:t>ese habitats comprise</w:t>
      </w:r>
      <w:r w:rsidR="00904D35">
        <w:t xml:space="preserve"> </w:t>
      </w:r>
      <w:r w:rsidR="00512A18">
        <w:t>54.5% of the New Forest National Park</w:t>
      </w:r>
      <w:r w:rsidR="000F304F">
        <w:t>.</w:t>
      </w:r>
      <w:r w:rsidRPr="00217CA0">
        <w:t xml:space="preserve"> The Authority receives this data from the Hampshire Biodiversity Information Centre (HBIC)</w:t>
      </w:r>
      <w:r>
        <w:t xml:space="preserve"> </w:t>
      </w:r>
      <w:r w:rsidR="009F62AA">
        <w:t>based on</w:t>
      </w:r>
      <w:r>
        <w:t xml:space="preserve"> detailed site surveys </w:t>
      </w:r>
      <w:r w:rsidRPr="00F72284">
        <w:t>to record and monitor changes in priority habitats, designated sites and selected notable species.</w:t>
      </w:r>
      <w:r w:rsidRPr="00217CA0">
        <w:t xml:space="preserve">   </w:t>
      </w:r>
    </w:p>
    <w:p w14:paraId="7A6F29FE" w14:textId="77777777" w:rsidR="00011D29" w:rsidRPr="00217CA0" w:rsidRDefault="00011D29" w:rsidP="00011D29">
      <w:pPr>
        <w:pStyle w:val="ListParagraph"/>
        <w:ind w:left="567" w:hanging="567"/>
      </w:pPr>
    </w:p>
    <w:p w14:paraId="15AAE37F" w14:textId="412FA57F" w:rsidR="00011D29" w:rsidRPr="00217CA0" w:rsidRDefault="00011D29" w:rsidP="00011D29">
      <w:pPr>
        <w:pStyle w:val="ListParagraph"/>
        <w:numPr>
          <w:ilvl w:val="0"/>
          <w:numId w:val="9"/>
        </w:numPr>
        <w:ind w:left="567" w:hanging="567"/>
      </w:pPr>
      <w:r w:rsidRPr="008B5A5D">
        <w:t>The</w:t>
      </w:r>
      <w:r w:rsidRPr="00217CA0">
        <w:t xml:space="preserve"> single biggest BAP Priority Habitat in the National Park remains lowland heathland at 10,</w:t>
      </w:r>
      <w:r>
        <w:t>3</w:t>
      </w:r>
      <w:r w:rsidR="006D1935">
        <w:t>66</w:t>
      </w:r>
      <w:r w:rsidRPr="00217CA0">
        <w:t xml:space="preserve"> hectares of lowland heathland (a slight </w:t>
      </w:r>
      <w:r>
        <w:t>in</w:t>
      </w:r>
      <w:r w:rsidRPr="00217CA0">
        <w:t>crease from 10,</w:t>
      </w:r>
      <w:r w:rsidR="00282406">
        <w:t>331</w:t>
      </w:r>
      <w:r w:rsidRPr="00217CA0">
        <w:t xml:space="preserve"> hectares last year). Just over 91% of all the priority habitats in the </w:t>
      </w:r>
      <w:proofErr w:type="gramStart"/>
      <w:r w:rsidRPr="00217CA0">
        <w:t>Park</w:t>
      </w:r>
      <w:proofErr w:type="gramEnd"/>
      <w:r w:rsidRPr="00217CA0">
        <w:t xml:space="preserve"> fall within designated nature conservation sites (i.e. statutory sites and </w:t>
      </w:r>
      <w:r w:rsidR="000A751C">
        <w:t>Hampshire C</w:t>
      </w:r>
      <w:r w:rsidRPr="00217CA0">
        <w:t>ounty-level Sites of Importance for Nature Conservation designations).</w:t>
      </w:r>
    </w:p>
    <w:p w14:paraId="57E63A1B" w14:textId="77777777" w:rsidR="00011D29" w:rsidRPr="00217CA0" w:rsidRDefault="00011D29" w:rsidP="00011D29">
      <w:pPr>
        <w:pStyle w:val="ListParagraph"/>
      </w:pPr>
    </w:p>
    <w:p w14:paraId="34949036" w14:textId="77777777" w:rsidR="00011D29" w:rsidRPr="00217CA0" w:rsidRDefault="00011D29" w:rsidP="00011D29">
      <w:pPr>
        <w:pStyle w:val="Heading4"/>
      </w:pPr>
      <w:r w:rsidRPr="00217CA0">
        <w:lastRenderedPageBreak/>
        <w:t>Designated nature conservation sites</w:t>
      </w:r>
    </w:p>
    <w:p w14:paraId="426D34F2" w14:textId="77777777" w:rsidR="00011D29" w:rsidRPr="00217CA0" w:rsidRDefault="00011D29" w:rsidP="00011D29">
      <w:pPr>
        <w:pStyle w:val="ListParagraph"/>
        <w:ind w:left="0"/>
      </w:pPr>
    </w:p>
    <w:p w14:paraId="7294ECC5" w14:textId="56908EA0" w:rsidR="00011D29" w:rsidRPr="00217CA0" w:rsidRDefault="00011D29" w:rsidP="00011D29">
      <w:pPr>
        <w:pStyle w:val="ListParagraph"/>
        <w:numPr>
          <w:ilvl w:val="0"/>
          <w:numId w:val="9"/>
        </w:numPr>
        <w:ind w:left="567" w:hanging="567"/>
      </w:pPr>
      <w:r w:rsidRPr="008B5A5D">
        <w:t>The</w:t>
      </w:r>
      <w:r w:rsidRPr="00217CA0">
        <w:t xml:space="preserve"> overall land in the National Park covered by statutory designated nature conservation sites totals 32,266 hectares, which </w:t>
      </w:r>
      <w:r w:rsidR="000C6A5C">
        <w:t>has remained constant over</w:t>
      </w:r>
      <w:r w:rsidRPr="00217CA0">
        <w:t xml:space="preserve"> the last</w:t>
      </w:r>
      <w:r w:rsidR="000C6A5C">
        <w:t xml:space="preserve"> five </w:t>
      </w:r>
      <w:r w:rsidRPr="00217CA0">
        <w:t>year</w:t>
      </w:r>
      <w:r w:rsidR="000C6A5C">
        <w:t>s</w:t>
      </w:r>
      <w:r w:rsidRPr="00217CA0">
        <w:t xml:space="preserve">. </w:t>
      </w:r>
    </w:p>
    <w:p w14:paraId="564C3EFF" w14:textId="77777777" w:rsidR="00011D29" w:rsidRPr="00217CA0" w:rsidRDefault="00011D29" w:rsidP="00011D29">
      <w:pPr>
        <w:pStyle w:val="ListParagraph"/>
        <w:ind w:left="567" w:hanging="567"/>
        <w:rPr>
          <w:b/>
        </w:rPr>
      </w:pPr>
    </w:p>
    <w:p w14:paraId="3736A0DB" w14:textId="77777777" w:rsidR="009B4619" w:rsidRPr="009B4619" w:rsidRDefault="00011D29" w:rsidP="009B4619">
      <w:pPr>
        <w:pStyle w:val="ListParagraph"/>
        <w:numPr>
          <w:ilvl w:val="0"/>
          <w:numId w:val="9"/>
        </w:numPr>
        <w:ind w:left="567" w:hanging="567"/>
        <w:rPr>
          <w:b/>
        </w:rPr>
      </w:pPr>
      <w:r w:rsidRPr="008B5A5D">
        <w:t>During</w:t>
      </w:r>
      <w:r w:rsidRPr="00217CA0">
        <w:t xml:space="preserve"> the monitoring period</w:t>
      </w:r>
      <w:r w:rsidRPr="0081556E">
        <w:t xml:space="preserve"> </w:t>
      </w:r>
      <w:r>
        <w:t>t</w:t>
      </w:r>
      <w:r w:rsidRPr="0081556E">
        <w:t>here</w:t>
      </w:r>
      <w:r w:rsidRPr="00217CA0">
        <w:t xml:space="preserve"> w</w:t>
      </w:r>
      <w:r w:rsidR="00F43758">
        <w:t>ere three</w:t>
      </w:r>
      <w:r w:rsidRPr="00217CA0">
        <w:t xml:space="preserve"> new Site</w:t>
      </w:r>
      <w:r w:rsidR="00F43758">
        <w:t>s</w:t>
      </w:r>
      <w:r w:rsidRPr="00217CA0">
        <w:t xml:space="preserve"> of Importance for Nature Conservation (SINC)</w:t>
      </w:r>
      <w:r>
        <w:t xml:space="preserve"> </w:t>
      </w:r>
      <w:r w:rsidR="00E72883">
        <w:t xml:space="preserve">comprising one at Saltgrass Lane in Keyhaven, and two </w:t>
      </w:r>
      <w:r w:rsidR="001474C1">
        <w:t>(</w:t>
      </w:r>
      <w:proofErr w:type="spellStart"/>
      <w:r w:rsidR="001474C1">
        <w:t>Burgate</w:t>
      </w:r>
      <w:proofErr w:type="spellEnd"/>
      <w:r w:rsidR="001474C1">
        <w:t xml:space="preserve"> Manor Farm Water Meadows Swamp and </w:t>
      </w:r>
      <w:proofErr w:type="spellStart"/>
      <w:r w:rsidR="001474C1">
        <w:t>Burgate</w:t>
      </w:r>
      <w:proofErr w:type="spellEnd"/>
      <w:r w:rsidR="001474C1">
        <w:t xml:space="preserve"> Manor Farm Water Meadows North-East) created through </w:t>
      </w:r>
      <w:r w:rsidR="00486549">
        <w:t xml:space="preserve">the splitting of </w:t>
      </w:r>
      <w:proofErr w:type="spellStart"/>
      <w:r w:rsidR="00486549">
        <w:t>Burgate</w:t>
      </w:r>
      <w:proofErr w:type="spellEnd"/>
      <w:r w:rsidR="00486549">
        <w:t xml:space="preserve"> Manor Farm Water Meadows</w:t>
      </w:r>
      <w:r>
        <w:t>.</w:t>
      </w:r>
      <w:r w:rsidRPr="00217CA0">
        <w:t xml:space="preserve"> </w:t>
      </w:r>
    </w:p>
    <w:p w14:paraId="45C5D1B1" w14:textId="77777777" w:rsidR="009B4619" w:rsidRPr="009B4619" w:rsidRDefault="009B4619" w:rsidP="009B4619">
      <w:pPr>
        <w:pStyle w:val="ListParagraph"/>
        <w:rPr>
          <w:bCs/>
        </w:rPr>
      </w:pPr>
    </w:p>
    <w:p w14:paraId="290D1F74" w14:textId="7798AD20" w:rsidR="00E72883" w:rsidRPr="009B4619" w:rsidRDefault="000D4D24" w:rsidP="009B4619">
      <w:pPr>
        <w:pStyle w:val="ListParagraph"/>
        <w:numPr>
          <w:ilvl w:val="0"/>
          <w:numId w:val="9"/>
        </w:numPr>
        <w:ind w:left="567" w:hanging="567"/>
        <w:rPr>
          <w:b/>
        </w:rPr>
      </w:pPr>
      <w:r w:rsidRPr="008B5A5D">
        <w:rPr>
          <w:bCs/>
        </w:rPr>
        <w:t>Two</w:t>
      </w:r>
      <w:r w:rsidRPr="009B4619">
        <w:rPr>
          <w:bCs/>
        </w:rPr>
        <w:t xml:space="preserve"> further </w:t>
      </w:r>
      <w:r w:rsidR="00351663" w:rsidRPr="009B4619">
        <w:rPr>
          <w:bCs/>
        </w:rPr>
        <w:t>sites</w:t>
      </w:r>
      <w:r w:rsidRPr="009B4619">
        <w:rPr>
          <w:bCs/>
        </w:rPr>
        <w:t xml:space="preserve"> were amended</w:t>
      </w:r>
      <w:r w:rsidR="004B008C" w:rsidRPr="009B4619">
        <w:rPr>
          <w:bCs/>
        </w:rPr>
        <w:t xml:space="preserve">, and two deleted. There are now </w:t>
      </w:r>
      <w:r w:rsidR="00351663" w:rsidRPr="009B4619">
        <w:rPr>
          <w:bCs/>
        </w:rPr>
        <w:t>399 SINCs in the National Park</w:t>
      </w:r>
      <w:r w:rsidR="00E47774" w:rsidRPr="009B4619">
        <w:rPr>
          <w:bCs/>
        </w:rPr>
        <w:t xml:space="preserve">, covering 3,035 hectares (compared to 389 sites </w:t>
      </w:r>
      <w:r w:rsidR="00325D2A" w:rsidRPr="009B4619">
        <w:rPr>
          <w:bCs/>
        </w:rPr>
        <w:t>on</w:t>
      </w:r>
      <w:r w:rsidR="00D902B1" w:rsidRPr="009B4619">
        <w:rPr>
          <w:bCs/>
        </w:rPr>
        <w:t xml:space="preserve"> 3,041 hectares last year)</w:t>
      </w:r>
      <w:r w:rsidR="00325D2A" w:rsidRPr="009B4619">
        <w:rPr>
          <w:bCs/>
        </w:rPr>
        <w:t>.</w:t>
      </w:r>
    </w:p>
    <w:p w14:paraId="5F161356" w14:textId="77777777" w:rsidR="00011D29" w:rsidRPr="00217CA0" w:rsidRDefault="00011D29" w:rsidP="00011D29">
      <w:pPr>
        <w:pStyle w:val="ListParagraph"/>
        <w:ind w:left="567" w:hanging="567"/>
        <w:rPr>
          <w:b/>
        </w:rPr>
      </w:pPr>
    </w:p>
    <w:p w14:paraId="6CF0A8B9" w14:textId="626AB1D1" w:rsidR="00011D29" w:rsidRPr="00217CA0" w:rsidRDefault="00011D29" w:rsidP="00011D29">
      <w:pPr>
        <w:pStyle w:val="ListParagraph"/>
        <w:numPr>
          <w:ilvl w:val="0"/>
          <w:numId w:val="9"/>
        </w:numPr>
        <w:ind w:left="567" w:hanging="567"/>
        <w:rPr>
          <w:b/>
        </w:rPr>
      </w:pPr>
      <w:r w:rsidRPr="008B5A5D">
        <w:t>The</w:t>
      </w:r>
      <w:r w:rsidRPr="00217CA0">
        <w:t xml:space="preserve"> </w:t>
      </w:r>
      <w:proofErr w:type="gramStart"/>
      <w:r w:rsidRPr="00217CA0">
        <w:t>longer term</w:t>
      </w:r>
      <w:proofErr w:type="gramEnd"/>
      <w:r w:rsidRPr="00217CA0">
        <w:t xml:space="preserve"> biodiversity trends since the National Park Authority became a Local Planning Authority in 2006 are set out in the two graphs below</w:t>
      </w:r>
      <w:r w:rsidR="00A60CA6">
        <w:t xml:space="preserve"> and overleaf</w:t>
      </w:r>
      <w:r w:rsidRPr="00217CA0">
        <w:t xml:space="preserve">. These charts </w:t>
      </w:r>
      <w:r w:rsidR="00EF6007">
        <w:t xml:space="preserve">highlight </w:t>
      </w:r>
      <w:r w:rsidRPr="00217CA0">
        <w:t>that any fluctuations from year to year are relatively minor in the overarching trends of remaining steady or increasing.</w:t>
      </w:r>
    </w:p>
    <w:p w14:paraId="431051BA" w14:textId="77777777" w:rsidR="000204A9" w:rsidRPr="00023DE7" w:rsidRDefault="000204A9" w:rsidP="00011D29">
      <w:pPr>
        <w:spacing w:after="80"/>
        <w:rPr>
          <w:b/>
        </w:rPr>
      </w:pPr>
    </w:p>
    <w:p w14:paraId="11A18796" w14:textId="05D76988" w:rsidR="00011D29" w:rsidRPr="000E2C4F" w:rsidRDefault="00011D29" w:rsidP="00011D29">
      <w:pPr>
        <w:pStyle w:val="ListParagraph"/>
        <w:spacing w:after="80"/>
        <w:ind w:left="709"/>
        <w:jc w:val="both"/>
        <w:rPr>
          <w:b/>
          <w:bCs/>
          <w:sz w:val="22"/>
        </w:rPr>
      </w:pPr>
      <w:r w:rsidRPr="008B5A5D">
        <w:rPr>
          <w:b/>
          <w:bCs/>
          <w:sz w:val="22"/>
        </w:rPr>
        <w:t>Figure</w:t>
      </w:r>
      <w:r w:rsidRPr="000E2C4F">
        <w:rPr>
          <w:b/>
          <w:bCs/>
          <w:sz w:val="22"/>
        </w:rPr>
        <w:t xml:space="preserve"> 1: Area covered by designated nature conservation sites 2006 - 202</w:t>
      </w:r>
      <w:r w:rsidR="00A54216">
        <w:rPr>
          <w:b/>
          <w:bCs/>
          <w:sz w:val="22"/>
        </w:rPr>
        <w:t>5</w:t>
      </w:r>
    </w:p>
    <w:p w14:paraId="7CDB4494" w14:textId="323497C9" w:rsidR="00011D29" w:rsidRPr="00412209" w:rsidRDefault="00011D29" w:rsidP="00011D29">
      <w:pPr>
        <w:pStyle w:val="ListParagraph"/>
        <w:spacing w:after="80"/>
        <w:ind w:left="426"/>
        <w:jc w:val="both"/>
        <w:rPr>
          <w:noProof/>
          <w:sz w:val="10"/>
          <w:szCs w:val="8"/>
        </w:rPr>
      </w:pPr>
    </w:p>
    <w:p w14:paraId="02E2DFB9" w14:textId="09E33517" w:rsidR="00011D29" w:rsidRDefault="00A54216" w:rsidP="00B114B7">
      <w:pPr>
        <w:pStyle w:val="ListParagraph"/>
        <w:spacing w:after="80"/>
        <w:ind w:left="0"/>
        <w:jc w:val="both"/>
        <w:rPr>
          <w:noProof/>
          <w14:ligatures w14:val="standardContextual"/>
        </w:rPr>
      </w:pPr>
      <w:r>
        <w:rPr>
          <w:noProof/>
          <w14:ligatures w14:val="standardContextual"/>
        </w:rPr>
        <w:drawing>
          <wp:inline distT="0" distB="0" distL="0" distR="0" wp14:anchorId="6C785F7C" wp14:editId="19076668">
            <wp:extent cx="6134100" cy="2286000"/>
            <wp:effectExtent l="0" t="0" r="0" b="0"/>
            <wp:docPr id="1488351755" name="Chart 1">
              <a:extLst xmlns:a="http://schemas.openxmlformats.org/drawingml/2006/main">
                <a:ext uri="{FF2B5EF4-FFF2-40B4-BE49-F238E27FC236}">
                  <a16:creationId xmlns:a16="http://schemas.microsoft.com/office/drawing/2014/main" id="{10DC9E6A-B25D-413B-9389-F321708D60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826B5F" w14:textId="578FA05B" w:rsidR="00EF6007" w:rsidRDefault="00972400" w:rsidP="00BE7D10">
      <w:pPr>
        <w:pStyle w:val="ListParagraph"/>
        <w:spacing w:after="80"/>
        <w:ind w:left="0"/>
        <w:jc w:val="both"/>
        <w:rPr>
          <w:noProof/>
          <w14:ligatures w14:val="standardContextual"/>
        </w:rPr>
      </w:pPr>
      <w:r>
        <w:rPr>
          <w:noProof/>
          <w14:ligatures w14:val="standardContextual"/>
        </w:rPr>
        <w:drawing>
          <wp:inline distT="0" distB="0" distL="0" distR="0" wp14:anchorId="3C0795DB" wp14:editId="68243594">
            <wp:extent cx="5876925" cy="2484120"/>
            <wp:effectExtent l="0" t="0" r="9525" b="11430"/>
            <wp:docPr id="381166335" name="Chart 1">
              <a:extLst xmlns:a="http://schemas.openxmlformats.org/drawingml/2006/main">
                <a:ext uri="{FF2B5EF4-FFF2-40B4-BE49-F238E27FC236}">
                  <a16:creationId xmlns:a16="http://schemas.microsoft.com/office/drawing/2014/main" id="{C2A7A8D0-E1FA-4C93-89D8-65F93CD343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AD7CB8" w14:textId="77777777" w:rsidR="00011D29" w:rsidRDefault="00011D29" w:rsidP="00011D29">
      <w:pPr>
        <w:pStyle w:val="ListParagraph"/>
        <w:spacing w:after="80"/>
        <w:ind w:left="426"/>
        <w:rPr>
          <w:noProof/>
          <w:color w:val="595959" w:themeColor="text1" w:themeTint="A6"/>
          <w:sz w:val="18"/>
          <w:szCs w:val="18"/>
        </w:rPr>
      </w:pPr>
      <w:r w:rsidRPr="00B10404">
        <w:rPr>
          <w:noProof/>
          <w:color w:val="595959" w:themeColor="text1" w:themeTint="A6"/>
          <w:sz w:val="18"/>
          <w:szCs w:val="18"/>
        </w:rPr>
        <w:t>Source: Hampshire Biodiversity Information Centre</w:t>
      </w:r>
    </w:p>
    <w:p w14:paraId="1E9687C0" w14:textId="77777777" w:rsidR="00011D29" w:rsidRPr="00217CA0" w:rsidRDefault="00011D29" w:rsidP="00011D29">
      <w:pPr>
        <w:pStyle w:val="Heading2"/>
        <w:spacing w:before="0"/>
        <w:ind w:firstLine="567"/>
      </w:pPr>
      <w:r w:rsidRPr="001B7B80">
        <w:lastRenderedPageBreak/>
        <w:t>Open</w:t>
      </w:r>
      <w:r w:rsidRPr="00217CA0">
        <w:t xml:space="preserve"> space</w:t>
      </w:r>
    </w:p>
    <w:p w14:paraId="0FE28042" w14:textId="77777777" w:rsidR="00011D29" w:rsidRPr="00217CA0" w:rsidRDefault="00011D29" w:rsidP="00011D29">
      <w:pPr>
        <w:ind w:right="-23"/>
        <w:rPr>
          <w:color w:val="1F497D"/>
        </w:rPr>
      </w:pPr>
    </w:p>
    <w:p w14:paraId="7F5F1D98" w14:textId="77777777" w:rsidR="00011D29" w:rsidRPr="00217CA0" w:rsidRDefault="00011D29" w:rsidP="00011D29">
      <w:pPr>
        <w:pStyle w:val="ListParagraph"/>
        <w:numPr>
          <w:ilvl w:val="0"/>
          <w:numId w:val="9"/>
        </w:numPr>
        <w:ind w:left="567" w:right="-23" w:hanging="567"/>
        <w:rPr>
          <w:b/>
        </w:rPr>
      </w:pPr>
      <w:r w:rsidRPr="008B5A5D">
        <w:t>There</w:t>
      </w:r>
      <w:r w:rsidRPr="00217CA0">
        <w:t xml:space="preserve"> has been no net loss of open space arising from a grant of planning permission during the monitoring period, in line with policy DP10 of the Local Plan. </w:t>
      </w:r>
    </w:p>
    <w:p w14:paraId="7EFF4434" w14:textId="77777777" w:rsidR="00011D29" w:rsidRPr="00217CA0" w:rsidRDefault="00011D29" w:rsidP="00011D29">
      <w:pPr>
        <w:pStyle w:val="ListParagraph"/>
        <w:ind w:left="567" w:right="-23" w:hanging="567"/>
        <w:rPr>
          <w:b/>
        </w:rPr>
      </w:pPr>
    </w:p>
    <w:p w14:paraId="70690191" w14:textId="371612B1" w:rsidR="00011D29" w:rsidRPr="007F0445" w:rsidRDefault="00011D29" w:rsidP="006D506C">
      <w:pPr>
        <w:pStyle w:val="ListParagraph"/>
        <w:numPr>
          <w:ilvl w:val="0"/>
          <w:numId w:val="9"/>
        </w:numPr>
        <w:ind w:left="567" w:right="-23" w:hanging="567"/>
        <w:rPr>
          <w:b/>
        </w:rPr>
      </w:pPr>
      <w:r w:rsidRPr="008B5A5D">
        <w:t>The</w:t>
      </w:r>
      <w:r w:rsidRPr="00217CA0">
        <w:t xml:space="preserve"> Authority continues to support the enhancement of existing public open spaces, sport and recreational facilities through the release of developer contributions. </w:t>
      </w:r>
      <w:r w:rsidRPr="00BC0B3E">
        <w:t>During this monitoring year public open space contributions</w:t>
      </w:r>
      <w:r>
        <w:t xml:space="preserve"> totalling £</w:t>
      </w:r>
      <w:r w:rsidR="00205890" w:rsidRPr="00205890">
        <w:t>121,805</w:t>
      </w:r>
      <w:r w:rsidRPr="00BC0B3E">
        <w:t xml:space="preserve"> were received</w:t>
      </w:r>
      <w:r w:rsidR="0062605E">
        <w:t>, and</w:t>
      </w:r>
      <w:r w:rsidR="0062605E" w:rsidRPr="0062605E">
        <w:t xml:space="preserve"> a total of £27,925 was spent on enhancing play facilities at Jubilee Field in Sway which was received from recent residential developments in Sway (including the redevelopment of the former Hatch Motors site in the village centre).</w:t>
      </w:r>
      <w:r w:rsidRPr="00217CA0">
        <w:t xml:space="preserve">  </w:t>
      </w:r>
    </w:p>
    <w:p w14:paraId="085B400E" w14:textId="77777777" w:rsidR="007F0445" w:rsidRPr="007F0445" w:rsidRDefault="007F0445" w:rsidP="007F0445">
      <w:pPr>
        <w:ind w:right="-23"/>
        <w:jc w:val="both"/>
        <w:rPr>
          <w:b/>
        </w:rPr>
      </w:pPr>
    </w:p>
    <w:p w14:paraId="076DFC88" w14:textId="77777777" w:rsidR="00011D29" w:rsidRPr="00217CA0" w:rsidRDefault="00011D29" w:rsidP="00011D29">
      <w:pPr>
        <w:pStyle w:val="Heading2"/>
        <w:spacing w:before="0"/>
        <w:ind w:firstLine="567"/>
      </w:pPr>
      <w:r w:rsidRPr="001B7B80">
        <w:t>Water</w:t>
      </w:r>
      <w:r w:rsidRPr="00217CA0">
        <w:t xml:space="preserve"> pollution and flood risk</w:t>
      </w:r>
    </w:p>
    <w:p w14:paraId="217DB3C4" w14:textId="77777777" w:rsidR="00011D29" w:rsidRPr="00217CA0" w:rsidRDefault="00011D29" w:rsidP="00011D29">
      <w:pPr>
        <w:pStyle w:val="ListParagraph"/>
        <w:ind w:left="709"/>
        <w:jc w:val="both"/>
      </w:pPr>
    </w:p>
    <w:p w14:paraId="6E662F2E" w14:textId="2BF6DF55" w:rsidR="00011D29" w:rsidRPr="00217CA0" w:rsidRDefault="00011D29" w:rsidP="00011D29">
      <w:pPr>
        <w:pStyle w:val="ListParagraph"/>
        <w:numPr>
          <w:ilvl w:val="0"/>
          <w:numId w:val="9"/>
        </w:numPr>
        <w:ind w:left="567" w:hanging="567"/>
      </w:pPr>
      <w:r w:rsidRPr="008B5A5D">
        <w:t>The</w:t>
      </w:r>
      <w:r w:rsidRPr="00217CA0">
        <w:t xml:space="preserve"> Authority routinely consults the Environment Agency</w:t>
      </w:r>
      <w:r>
        <w:t xml:space="preserve"> (EA)</w:t>
      </w:r>
      <w:r w:rsidRPr="00217CA0">
        <w:t xml:space="preserve"> on planning applications that may impact on water quality or flood risk in the </w:t>
      </w:r>
      <w:r>
        <w:t>National Park</w:t>
      </w:r>
      <w:r w:rsidRPr="00217CA0">
        <w:t xml:space="preserve">. During the monitoring period there were </w:t>
      </w:r>
      <w:r>
        <w:t>no planning applications granted contrary to the advice of the EA. On</w:t>
      </w:r>
      <w:r w:rsidR="00214878">
        <w:t xml:space="preserve"> one </w:t>
      </w:r>
      <w:r>
        <w:t>application</w:t>
      </w:r>
      <w:r w:rsidR="00214878">
        <w:t xml:space="preserve"> an i</w:t>
      </w:r>
      <w:r w:rsidR="00214878" w:rsidRPr="00214878">
        <w:t xml:space="preserve">nitial objection </w:t>
      </w:r>
      <w:r w:rsidR="005835BA">
        <w:t>by the EA to the p</w:t>
      </w:r>
      <w:r w:rsidR="00214878" w:rsidRPr="00214878">
        <w:t xml:space="preserve">roposal </w:t>
      </w:r>
      <w:r w:rsidR="00214878">
        <w:t xml:space="preserve">was </w:t>
      </w:r>
      <w:r w:rsidR="00214878" w:rsidRPr="00214878">
        <w:t xml:space="preserve">withdrawn following the provision of additional information and subject to </w:t>
      </w:r>
      <w:r w:rsidR="00B64B34">
        <w:t xml:space="preserve">an appropriate </w:t>
      </w:r>
      <w:r w:rsidR="00214878" w:rsidRPr="00214878">
        <w:t>condition being imposed.</w:t>
      </w:r>
      <w:r w:rsidR="00B64B34">
        <w:t xml:space="preserve"> </w:t>
      </w:r>
    </w:p>
    <w:p w14:paraId="612CF4C4" w14:textId="77777777" w:rsidR="00011D29" w:rsidRPr="00217CA0" w:rsidRDefault="00011D29" w:rsidP="00011D29">
      <w:pPr>
        <w:pStyle w:val="ListParagraph"/>
        <w:ind w:left="709"/>
      </w:pPr>
      <w:r w:rsidRPr="00217CA0">
        <w:t xml:space="preserve"> </w:t>
      </w:r>
    </w:p>
    <w:p w14:paraId="14B6E330" w14:textId="77777777" w:rsidR="00011D29" w:rsidRPr="00217CA0" w:rsidRDefault="00011D29" w:rsidP="00011D29">
      <w:pPr>
        <w:pStyle w:val="Heading2"/>
        <w:spacing w:before="0"/>
        <w:ind w:firstLine="567"/>
      </w:pPr>
      <w:r w:rsidRPr="001B7B80">
        <w:t>Renewable</w:t>
      </w:r>
      <w:r w:rsidRPr="00217CA0">
        <w:t xml:space="preserve"> energy</w:t>
      </w:r>
    </w:p>
    <w:p w14:paraId="47367610" w14:textId="77777777" w:rsidR="00011D29" w:rsidRPr="00217CA0" w:rsidRDefault="00011D29" w:rsidP="00011D29">
      <w:pPr>
        <w:pStyle w:val="ListParagraph"/>
        <w:ind w:left="709"/>
        <w:jc w:val="both"/>
        <w:rPr>
          <w:sz w:val="22"/>
          <w:szCs w:val="8"/>
        </w:rPr>
      </w:pPr>
    </w:p>
    <w:p w14:paraId="0F5C248C" w14:textId="28CFBDDC" w:rsidR="00011D29" w:rsidRDefault="00011D29" w:rsidP="00011D29">
      <w:pPr>
        <w:pStyle w:val="ListParagraph"/>
        <w:numPr>
          <w:ilvl w:val="0"/>
          <w:numId w:val="9"/>
        </w:numPr>
        <w:ind w:left="567" w:hanging="567"/>
      </w:pPr>
      <w:r w:rsidRPr="008B5A5D">
        <w:t>This</w:t>
      </w:r>
      <w:r w:rsidRPr="00217CA0">
        <w:t xml:space="preserve"> monitoring period saw </w:t>
      </w:r>
      <w:r w:rsidR="00764B66">
        <w:t>several</w:t>
      </w:r>
      <w:r w:rsidRPr="00217CA0">
        <w:t xml:space="preserve"> planning applications granted for, or incorporating, renewable energy schemes (</w:t>
      </w:r>
      <w:r w:rsidR="00B71FE5">
        <w:t>37</w:t>
      </w:r>
      <w:r w:rsidRPr="00217CA0">
        <w:t xml:space="preserve"> in total compared to </w:t>
      </w:r>
      <w:r w:rsidR="00B71FE5">
        <w:t>4</w:t>
      </w:r>
      <w:r>
        <w:t>6</w:t>
      </w:r>
      <w:r w:rsidRPr="00217CA0">
        <w:t xml:space="preserve"> last year). </w:t>
      </w:r>
      <w:r w:rsidR="00DA2F6E">
        <w:t>Two thirds of these permissio</w:t>
      </w:r>
      <w:r w:rsidR="00836265">
        <w:t>ns</w:t>
      </w:r>
      <w:r w:rsidRPr="00217CA0">
        <w:t xml:space="preserve"> comprised solar panels, </w:t>
      </w:r>
      <w:r>
        <w:t>mostly domestic scale roof mounted panels with a handful of applications granted for</w:t>
      </w:r>
      <w:r w:rsidRPr="00217CA0">
        <w:t xml:space="preserve"> ground mounted solar arrays. </w:t>
      </w:r>
    </w:p>
    <w:p w14:paraId="5CF2D571" w14:textId="77777777" w:rsidR="00011D29" w:rsidRDefault="00011D29" w:rsidP="00011D29">
      <w:pPr>
        <w:pStyle w:val="ListParagraph"/>
        <w:ind w:left="567" w:hanging="567"/>
      </w:pPr>
    </w:p>
    <w:p w14:paraId="6AF32DEF" w14:textId="4F428D1C" w:rsidR="00011D29" w:rsidRPr="00217CA0" w:rsidRDefault="00011D29" w:rsidP="00011D29">
      <w:pPr>
        <w:pStyle w:val="ListParagraph"/>
        <w:numPr>
          <w:ilvl w:val="0"/>
          <w:numId w:val="9"/>
        </w:numPr>
        <w:ind w:left="567" w:hanging="567"/>
      </w:pPr>
      <w:r w:rsidRPr="008B5A5D">
        <w:t>Furthermore</w:t>
      </w:r>
      <w:r>
        <w:t>, th</w:t>
      </w:r>
      <w:r w:rsidR="0058180F">
        <w:t>is year saw significantly more</w:t>
      </w:r>
      <w:r>
        <w:t xml:space="preserve"> </w:t>
      </w:r>
      <w:r w:rsidRPr="00217CA0">
        <w:t>schemes incorporating air</w:t>
      </w:r>
      <w:r w:rsidR="0058180F">
        <w:t xml:space="preserve"> or ground</w:t>
      </w:r>
      <w:r w:rsidRPr="00217CA0">
        <w:t xml:space="preserve"> source heat pumps (</w:t>
      </w:r>
      <w:r w:rsidR="00512629">
        <w:t xml:space="preserve">13 </w:t>
      </w:r>
      <w:r w:rsidRPr="00217CA0">
        <w:t xml:space="preserve">compared to </w:t>
      </w:r>
      <w:r>
        <w:t>four</w:t>
      </w:r>
      <w:r w:rsidRPr="00217CA0">
        <w:t xml:space="preserve"> last year). All were small scale schemes, in accordance with the adopted Local Plan policies.</w:t>
      </w:r>
    </w:p>
    <w:p w14:paraId="0E361A85" w14:textId="77777777" w:rsidR="00011D29" w:rsidRPr="00217CA0" w:rsidRDefault="00011D29" w:rsidP="00011D29">
      <w:pPr>
        <w:pStyle w:val="ListParagraph"/>
        <w:ind w:left="709"/>
      </w:pPr>
    </w:p>
    <w:p w14:paraId="4CA41AFC" w14:textId="77777777" w:rsidR="00011D29" w:rsidRPr="00217CA0" w:rsidRDefault="00011D29" w:rsidP="00011D29">
      <w:pPr>
        <w:pStyle w:val="Heading2"/>
        <w:spacing w:before="0"/>
        <w:ind w:firstLine="567"/>
      </w:pPr>
      <w:r w:rsidRPr="00217CA0">
        <w:t>Performance of the Natural Environment policies</w:t>
      </w:r>
    </w:p>
    <w:p w14:paraId="4EAC1801" w14:textId="77777777" w:rsidR="00011D29" w:rsidRPr="00217CA0" w:rsidRDefault="00011D29" w:rsidP="00011D29">
      <w:pPr>
        <w:pStyle w:val="ListParagraph"/>
        <w:ind w:left="709"/>
        <w:rPr>
          <w:szCs w:val="8"/>
        </w:rPr>
      </w:pPr>
    </w:p>
    <w:p w14:paraId="3B21ABC4" w14:textId="77777777" w:rsidR="00011D29" w:rsidRDefault="00011D29" w:rsidP="00011D29">
      <w:pPr>
        <w:pStyle w:val="ListParagraph"/>
        <w:numPr>
          <w:ilvl w:val="0"/>
          <w:numId w:val="9"/>
        </w:numPr>
        <w:ind w:left="567" w:hanging="567"/>
      </w:pPr>
      <w:r w:rsidRPr="008B5A5D">
        <w:t>There</w:t>
      </w:r>
      <w:r w:rsidRPr="00217CA0">
        <w:t xml:space="preserve"> continues to be a strong emphasis on the core objectives of protecting and enhancing the natural environment as set out in the Authority’s Local Plan. In particular, the National Park purposes remain fundamental to the overall strategy set out in the Local Plan. </w:t>
      </w:r>
    </w:p>
    <w:p w14:paraId="59C4C556" w14:textId="77777777" w:rsidR="00D410AB" w:rsidRDefault="00D410AB" w:rsidP="00D410AB">
      <w:pPr>
        <w:pStyle w:val="ListParagraph"/>
        <w:ind w:left="567"/>
      </w:pPr>
    </w:p>
    <w:p w14:paraId="15C74A09" w14:textId="16F795B1" w:rsidR="00011D29" w:rsidRPr="00217CA0" w:rsidRDefault="00D410AB" w:rsidP="00D57724">
      <w:pPr>
        <w:pStyle w:val="ListParagraph"/>
        <w:numPr>
          <w:ilvl w:val="0"/>
          <w:numId w:val="9"/>
        </w:numPr>
        <w:ind w:left="567" w:hanging="567"/>
      </w:pPr>
      <w:r w:rsidRPr="008B5A5D">
        <w:t>These</w:t>
      </w:r>
      <w:r>
        <w:t xml:space="preserve"> policies remain broadly fit for purpose </w:t>
      </w:r>
      <w:r w:rsidR="00725D8E">
        <w:t xml:space="preserve">with no significant changes required in the emerging review of the </w:t>
      </w:r>
      <w:r w:rsidR="005956DB">
        <w:t>National Local Plan, except to reflect changes in national policy</w:t>
      </w:r>
      <w:r w:rsidR="00212BD2">
        <w:t>, such a</w:t>
      </w:r>
      <w:r w:rsidR="0032560D">
        <w:t>s incorporation of Biodiversity Net Gain (BNG)</w:t>
      </w:r>
      <w:r w:rsidR="00F247E3">
        <w:t xml:space="preserve">, </w:t>
      </w:r>
      <w:r w:rsidR="0032560D">
        <w:t xml:space="preserve">Local Nature Recovery </w:t>
      </w:r>
      <w:r w:rsidR="00F845D2">
        <w:t>Strategies</w:t>
      </w:r>
      <w:r w:rsidR="00F247E3">
        <w:t xml:space="preserve"> and a Coast</w:t>
      </w:r>
      <w:r w:rsidR="00D57724">
        <w:t>al</w:t>
      </w:r>
      <w:r w:rsidR="00F247E3">
        <w:t xml:space="preserve"> Change Management Area</w:t>
      </w:r>
      <w:r w:rsidR="005956DB">
        <w:t>.</w:t>
      </w:r>
    </w:p>
    <w:p w14:paraId="196FE7DB" w14:textId="77777777" w:rsidR="00011D29" w:rsidRPr="00217CA0" w:rsidRDefault="00011D29" w:rsidP="00011D29">
      <w:pPr>
        <w:pStyle w:val="ListParagraph"/>
        <w:numPr>
          <w:ilvl w:val="0"/>
          <w:numId w:val="9"/>
        </w:numPr>
        <w:spacing w:after="80"/>
        <w:ind w:left="709" w:hanging="709"/>
      </w:pPr>
      <w:r w:rsidRPr="00217CA0">
        <w:rPr>
          <w:b/>
          <w:sz w:val="28"/>
          <w:szCs w:val="28"/>
          <w:highlight w:val="yellow"/>
        </w:rPr>
        <w:br w:type="page"/>
      </w:r>
    </w:p>
    <w:p w14:paraId="751E72F4" w14:textId="77777777" w:rsidR="00011D29" w:rsidRPr="00217CA0" w:rsidRDefault="00011D29" w:rsidP="00011D29">
      <w:pPr>
        <w:pStyle w:val="Heading1"/>
        <w:rPr>
          <w:szCs w:val="28"/>
        </w:rPr>
      </w:pPr>
      <w:bookmarkStart w:id="7" w:name="_Toc92364675"/>
      <w:r w:rsidRPr="00217CA0">
        <w:rPr>
          <w:szCs w:val="28"/>
        </w:rPr>
        <w:lastRenderedPageBreak/>
        <w:t>5.</w:t>
      </w:r>
      <w:r w:rsidRPr="00217CA0">
        <w:rPr>
          <w:szCs w:val="28"/>
        </w:rPr>
        <w:tab/>
      </w:r>
      <w:r w:rsidRPr="00217CA0">
        <w:rPr>
          <w:rStyle w:val="Heading1Char"/>
          <w:b/>
          <w:bCs/>
        </w:rPr>
        <w:t>Protecting and Enhancing the Built Environment</w:t>
      </w:r>
      <w:bookmarkEnd w:id="7"/>
    </w:p>
    <w:p w14:paraId="2C2CF5E6" w14:textId="77777777" w:rsidR="00011D29" w:rsidRDefault="00011D29" w:rsidP="00011D29">
      <w:pPr>
        <w:pStyle w:val="ListParagraph"/>
        <w:ind w:left="0"/>
        <w:rPr>
          <w:sz w:val="20"/>
        </w:rPr>
      </w:pPr>
    </w:p>
    <w:p w14:paraId="53E24AC0" w14:textId="77777777" w:rsidR="00011D29" w:rsidRDefault="00011D29" w:rsidP="00011D29">
      <w:pPr>
        <w:shd w:val="clear" w:color="auto" w:fill="D9D9D9" w:themeFill="background1" w:themeFillShade="D9"/>
      </w:pPr>
      <w:r w:rsidRPr="001F12D1">
        <w:rPr>
          <w:b/>
          <w:bCs/>
        </w:rPr>
        <w:t xml:space="preserve">New Forest National Park Partnership Plan Objective </w:t>
      </w:r>
      <w:r>
        <w:rPr>
          <w:b/>
          <w:bCs/>
        </w:rPr>
        <w:t>4</w:t>
      </w:r>
    </w:p>
    <w:p w14:paraId="2B5A8B8E" w14:textId="77777777" w:rsidR="00011D29" w:rsidRPr="00D26FCC" w:rsidRDefault="00011D29" w:rsidP="00011D29">
      <w:pPr>
        <w:shd w:val="clear" w:color="auto" w:fill="D9D9D9" w:themeFill="background1" w:themeFillShade="D9"/>
      </w:pPr>
      <w:r w:rsidRPr="00F66D5F">
        <w:t xml:space="preserve">Thriving Forest – a living, working Forest is sustained through its rich cultural heritage, natural beauty and support for </w:t>
      </w:r>
      <w:proofErr w:type="spellStart"/>
      <w:r w:rsidRPr="00F66D5F">
        <w:t>commoning</w:t>
      </w:r>
      <w:proofErr w:type="spellEnd"/>
      <w:r w:rsidRPr="00F66D5F">
        <w:t>. There is a vibrant local produce market, access to affordable homes and a growing green economy featuring sustainable tourism and green businesses.</w:t>
      </w:r>
    </w:p>
    <w:p w14:paraId="4BA89E54" w14:textId="77777777" w:rsidR="00011D29" w:rsidRPr="00F251C2" w:rsidRDefault="00011D29" w:rsidP="00011D29">
      <w:pPr>
        <w:pStyle w:val="ListParagraph"/>
        <w:ind w:left="0"/>
        <w:rPr>
          <w:szCs w:val="28"/>
        </w:rPr>
      </w:pPr>
    </w:p>
    <w:p w14:paraId="1ECECAE5" w14:textId="77777777" w:rsidR="00011D29" w:rsidRPr="00217CA0" w:rsidRDefault="00011D29" w:rsidP="00011D29">
      <w:pPr>
        <w:pStyle w:val="ListParagraph"/>
        <w:shd w:val="clear" w:color="auto" w:fill="D9D9D9" w:themeFill="background1" w:themeFillShade="D9"/>
        <w:ind w:left="0"/>
      </w:pPr>
      <w:r w:rsidRPr="00217CA0">
        <w:rPr>
          <w:b/>
          <w:bCs/>
        </w:rPr>
        <w:t>Local Plan Strategic Objective 2:</w:t>
      </w:r>
      <w:r w:rsidRPr="00217CA0">
        <w:t xml:space="preserve">  Policies DP2, SP16, SP17, DP18</w:t>
      </w:r>
    </w:p>
    <w:p w14:paraId="7E4A6684" w14:textId="77777777" w:rsidR="00011D29" w:rsidRPr="00217CA0" w:rsidRDefault="00011D29" w:rsidP="00011D29">
      <w:pPr>
        <w:pStyle w:val="ListParagraph"/>
        <w:shd w:val="clear" w:color="auto" w:fill="D9D9D9" w:themeFill="background1" w:themeFillShade="D9"/>
        <w:ind w:left="0"/>
      </w:pPr>
      <w:r w:rsidRPr="00217CA0">
        <w:t>Conserve and enhance the cultural heritage and historic environment of the National Park, especially the wealth of individual characteristics that contribute to its local distinctiveness.</w:t>
      </w:r>
    </w:p>
    <w:p w14:paraId="074BC00E" w14:textId="77777777" w:rsidR="00011D29" w:rsidRPr="00217CA0" w:rsidRDefault="00011D29" w:rsidP="00011D29">
      <w:pPr>
        <w:pStyle w:val="ListParagraph"/>
        <w:ind w:left="0"/>
        <w:rPr>
          <w:szCs w:val="36"/>
        </w:rPr>
      </w:pPr>
    </w:p>
    <w:p w14:paraId="0013945C" w14:textId="77777777" w:rsidR="00011D29" w:rsidRPr="00217CA0" w:rsidRDefault="00011D29" w:rsidP="00011D29">
      <w:pPr>
        <w:pStyle w:val="ListParagraph"/>
        <w:numPr>
          <w:ilvl w:val="1"/>
          <w:numId w:val="10"/>
        </w:numPr>
        <w:suppressAutoHyphens/>
        <w:ind w:left="567" w:right="-24" w:hanging="567"/>
      </w:pPr>
      <w:r w:rsidRPr="008B5A5D">
        <w:t>The</w:t>
      </w:r>
      <w:r w:rsidRPr="00217CA0">
        <w:t xml:space="preserve"> Local Plan emphasises the importance of recognising and protecting the distinctive character of the built environment of the National Park, reflected in the designated and non-designated historic buildings and features. This has been emphasised, and explored in more detail, in the Authority’s Design Guide Supplementary Planning Document, adopted in January 2022, as well as the adopted Village Design Statements. The built environment planning policies help to deliver the first statutory National Park purpose. </w:t>
      </w:r>
    </w:p>
    <w:p w14:paraId="0A2F348A" w14:textId="77777777" w:rsidR="00011D29" w:rsidRPr="00217CA0" w:rsidRDefault="00011D29" w:rsidP="00011D29">
      <w:pPr>
        <w:pStyle w:val="ListParagraph"/>
        <w:ind w:left="0" w:right="-24"/>
      </w:pPr>
    </w:p>
    <w:p w14:paraId="4FFF3E91" w14:textId="77777777" w:rsidR="00011D29" w:rsidRPr="00217CA0" w:rsidRDefault="00011D29" w:rsidP="00011D29">
      <w:pPr>
        <w:pStyle w:val="Heading2"/>
        <w:spacing w:before="0"/>
        <w:ind w:right="-24" w:firstLine="567"/>
      </w:pPr>
      <w:r w:rsidRPr="00217CA0">
        <w:t>Design issues</w:t>
      </w:r>
    </w:p>
    <w:p w14:paraId="0E101D29" w14:textId="77777777" w:rsidR="00011D29" w:rsidRPr="00217CA0" w:rsidRDefault="00011D29" w:rsidP="00011D29">
      <w:pPr>
        <w:pStyle w:val="ListParagraph"/>
        <w:ind w:left="709" w:right="-24"/>
        <w:rPr>
          <w:szCs w:val="36"/>
        </w:rPr>
      </w:pPr>
    </w:p>
    <w:p w14:paraId="1B3B5F0D" w14:textId="77777777" w:rsidR="00011D29" w:rsidRPr="00217CA0" w:rsidRDefault="00011D29" w:rsidP="00011D29">
      <w:pPr>
        <w:pStyle w:val="Heading4"/>
        <w:spacing w:before="0"/>
        <w:ind w:right="-24"/>
      </w:pPr>
      <w:r w:rsidRPr="00032FF0">
        <w:t>Planning</w:t>
      </w:r>
      <w:r w:rsidRPr="00217CA0">
        <w:t xml:space="preserve"> applications</w:t>
      </w:r>
    </w:p>
    <w:p w14:paraId="4FBA2F31" w14:textId="77777777" w:rsidR="00011D29" w:rsidRPr="00217CA0" w:rsidRDefault="00011D29" w:rsidP="00011D29">
      <w:pPr>
        <w:pStyle w:val="ListParagraph"/>
        <w:ind w:left="709" w:right="-24"/>
        <w:rPr>
          <w:szCs w:val="48"/>
        </w:rPr>
      </w:pPr>
    </w:p>
    <w:p w14:paraId="34B150DB" w14:textId="5E6257E7" w:rsidR="00011D29" w:rsidRPr="00217CA0" w:rsidRDefault="00011D29" w:rsidP="00011D29">
      <w:pPr>
        <w:pStyle w:val="ListParagraph"/>
        <w:numPr>
          <w:ilvl w:val="1"/>
          <w:numId w:val="10"/>
        </w:numPr>
        <w:suppressAutoHyphens/>
        <w:ind w:left="567" w:right="-24" w:hanging="567"/>
      </w:pPr>
      <w:r w:rsidRPr="00217CA0">
        <w:t xml:space="preserve">A </w:t>
      </w:r>
      <w:r w:rsidRPr="008B5A5D">
        <w:t>total</w:t>
      </w:r>
      <w:r w:rsidRPr="00217CA0">
        <w:t xml:space="preserve"> of </w:t>
      </w:r>
      <w:r w:rsidR="000D1552">
        <w:t>600</w:t>
      </w:r>
      <w:r w:rsidRPr="00217CA0">
        <w:t xml:space="preserve"> planning applications were determined between 1 April 202</w:t>
      </w:r>
      <w:r w:rsidR="000D1552">
        <w:t>4</w:t>
      </w:r>
      <w:r w:rsidRPr="00217CA0">
        <w:t xml:space="preserve"> and 31 March 202</w:t>
      </w:r>
      <w:r w:rsidR="000D1552">
        <w:t>5</w:t>
      </w:r>
      <w:r w:rsidRPr="00217CA0">
        <w:t xml:space="preserve">. Approximately </w:t>
      </w:r>
      <w:r w:rsidR="002269D1">
        <w:t>9</w:t>
      </w:r>
      <w:r w:rsidRPr="00217CA0">
        <w:t xml:space="preserve">% of </w:t>
      </w:r>
      <w:r w:rsidR="002269D1">
        <w:t xml:space="preserve">those planning </w:t>
      </w:r>
      <w:r w:rsidRPr="00217CA0">
        <w:t xml:space="preserve">applications were subsequently withdrawn, and </w:t>
      </w:r>
      <w:r w:rsidR="00BF7B8F">
        <w:t>5</w:t>
      </w:r>
      <w:r w:rsidRPr="00217CA0">
        <w:t>% were refused permission, with 8</w:t>
      </w:r>
      <w:r>
        <w:t>5</w:t>
      </w:r>
      <w:r w:rsidRPr="00217CA0">
        <w:t xml:space="preserve">% approved. These proportions remain broadly the same as </w:t>
      </w:r>
      <w:r w:rsidR="00BF7B8F">
        <w:t>last</w:t>
      </w:r>
      <w:r w:rsidRPr="00217CA0">
        <w:t xml:space="preserve"> year.</w:t>
      </w:r>
    </w:p>
    <w:p w14:paraId="1177A42C" w14:textId="77777777" w:rsidR="00011D29" w:rsidRPr="00217CA0" w:rsidRDefault="00011D29" w:rsidP="00011D29">
      <w:pPr>
        <w:pStyle w:val="ListParagraph"/>
        <w:ind w:left="567" w:right="-24" w:hanging="567"/>
      </w:pPr>
    </w:p>
    <w:p w14:paraId="35E1F1D2" w14:textId="77777777" w:rsidR="00011D29" w:rsidRPr="00217CA0" w:rsidRDefault="00011D29" w:rsidP="00011D29">
      <w:pPr>
        <w:pStyle w:val="ListParagraph"/>
        <w:numPr>
          <w:ilvl w:val="1"/>
          <w:numId w:val="10"/>
        </w:numPr>
        <w:suppressAutoHyphens/>
        <w:ind w:left="567" w:right="-24" w:hanging="567"/>
      </w:pPr>
      <w:r w:rsidRPr="008B5A5D">
        <w:t>Implementation</w:t>
      </w:r>
      <w:r w:rsidRPr="00217CA0">
        <w:t xml:space="preserve"> of the Authority’s planning policies for the built environment continues to focus on the principles of good design in new development. The proportion of planning applications refused on the grounds of poor or inappropriate design during this monitoring period was broadly the same as in previous years. Where design issues led to a refusal of permission these consisted primarily of concerns regarding potential suburbanisation effects of the proposals, or erosion of the rural character and local distinctiveness of the area. </w:t>
      </w:r>
    </w:p>
    <w:p w14:paraId="3806C3DB" w14:textId="77777777" w:rsidR="00011D29" w:rsidRPr="00217CA0" w:rsidRDefault="00011D29" w:rsidP="00011D29">
      <w:pPr>
        <w:pStyle w:val="ListParagraph"/>
        <w:ind w:left="567" w:right="-24" w:hanging="567"/>
      </w:pPr>
    </w:p>
    <w:p w14:paraId="769475BB" w14:textId="77777777" w:rsidR="00011D29" w:rsidRPr="00217CA0" w:rsidRDefault="00011D29" w:rsidP="00011D29">
      <w:pPr>
        <w:pStyle w:val="ListParagraph"/>
        <w:numPr>
          <w:ilvl w:val="1"/>
          <w:numId w:val="10"/>
        </w:numPr>
        <w:suppressAutoHyphens/>
        <w:ind w:left="567" w:right="-24" w:hanging="567"/>
      </w:pPr>
      <w:r w:rsidRPr="008B5A5D">
        <w:t>Planning</w:t>
      </w:r>
      <w:r w:rsidRPr="00217CA0">
        <w:t xml:space="preserve"> applications are also assessed against relevant supplementary planning documents including the Authority’s Design Guide</w:t>
      </w:r>
      <w:r>
        <w:t xml:space="preserve"> (2022)</w:t>
      </w:r>
      <w:r w:rsidRPr="00217CA0">
        <w:t>. Village Design Statements are also a material planning consideration, and there are seven of these covering parts of the National Park which have been adopted as Supplementary Planning Documents.</w:t>
      </w:r>
    </w:p>
    <w:p w14:paraId="38758A95" w14:textId="77777777" w:rsidR="00011D29" w:rsidRPr="00217CA0" w:rsidRDefault="00011D29" w:rsidP="00011D29">
      <w:pPr>
        <w:ind w:right="-24"/>
      </w:pPr>
    </w:p>
    <w:p w14:paraId="10525584" w14:textId="77777777" w:rsidR="00011D29" w:rsidRDefault="00011D29" w:rsidP="00011D29">
      <w:pPr>
        <w:spacing w:after="160" w:line="278" w:lineRule="auto"/>
        <w:rPr>
          <w:rFonts w:eastAsiaTheme="majorEastAsia" w:cstheme="majorBidi"/>
          <w:i/>
          <w:iCs/>
          <w:color w:val="0F4761" w:themeColor="accent1" w:themeShade="BF"/>
        </w:rPr>
      </w:pPr>
      <w:r>
        <w:br w:type="page"/>
      </w:r>
    </w:p>
    <w:p w14:paraId="41A76532" w14:textId="77777777" w:rsidR="00011D29" w:rsidRPr="00217CA0" w:rsidRDefault="00011D29" w:rsidP="00011D29">
      <w:pPr>
        <w:pStyle w:val="Heading4"/>
        <w:spacing w:before="0"/>
        <w:ind w:right="-24"/>
      </w:pPr>
      <w:r w:rsidRPr="00217CA0">
        <w:lastRenderedPageBreak/>
        <w:t>Refusals of planning permission</w:t>
      </w:r>
    </w:p>
    <w:p w14:paraId="4DE20A80" w14:textId="77777777" w:rsidR="00011D29" w:rsidRPr="00217CA0" w:rsidRDefault="00011D29" w:rsidP="00011D29">
      <w:pPr>
        <w:pStyle w:val="ListParagraph"/>
        <w:ind w:right="-24"/>
      </w:pPr>
    </w:p>
    <w:p w14:paraId="73B9BA72" w14:textId="77777777" w:rsidR="00011D29" w:rsidRDefault="00011D29" w:rsidP="00011D29">
      <w:pPr>
        <w:pStyle w:val="ListParagraph"/>
        <w:numPr>
          <w:ilvl w:val="1"/>
          <w:numId w:val="10"/>
        </w:numPr>
        <w:suppressAutoHyphens/>
        <w:ind w:left="567" w:right="-24" w:hanging="567"/>
      </w:pPr>
      <w:r w:rsidRPr="008B5A5D">
        <w:t>The</w:t>
      </w:r>
      <w:r w:rsidRPr="00217CA0">
        <w:t xml:space="preserve"> main reasons for refusal of planning applications are illustrated in figure 2 </w:t>
      </w:r>
      <w:r>
        <w:t>below</w:t>
      </w:r>
      <w:r w:rsidRPr="00217CA0">
        <w:t>. This highlights that, as in previous years, a significant proportion relate to unsuitable design issues, the inappropriately large size of dwellings, and impacts on the landscape. These proportions remain broadly comparable with last year’s data.</w:t>
      </w:r>
    </w:p>
    <w:p w14:paraId="3732A179" w14:textId="77777777" w:rsidR="00011D29" w:rsidRPr="005C0A9A" w:rsidRDefault="00011D29" w:rsidP="00011D29">
      <w:pPr>
        <w:pStyle w:val="ListParagraph"/>
        <w:suppressAutoHyphens/>
        <w:ind w:left="567" w:right="-24"/>
      </w:pPr>
    </w:p>
    <w:p w14:paraId="2C6974C0" w14:textId="7823B147" w:rsidR="00011D29" w:rsidRPr="00217CA0" w:rsidRDefault="00011D29" w:rsidP="00011D29">
      <w:pPr>
        <w:pStyle w:val="ListParagraph"/>
        <w:numPr>
          <w:ilvl w:val="1"/>
          <w:numId w:val="10"/>
        </w:numPr>
        <w:suppressAutoHyphens/>
        <w:ind w:left="567" w:right="-24" w:hanging="567"/>
      </w:pPr>
      <w:r w:rsidRPr="008B5A5D">
        <w:t>The</w:t>
      </w:r>
      <w:r w:rsidRPr="00217CA0">
        <w:t xml:space="preserve"> planning policies cited most often in refusals of planning applications during this monitoring period are </w:t>
      </w:r>
      <w:r w:rsidR="00F94BC6" w:rsidRPr="00217CA0">
        <w:t xml:space="preserve">DP2 (General development principles); </w:t>
      </w:r>
      <w:r w:rsidRPr="00217CA0">
        <w:t xml:space="preserve">SP17 (Local distinctiveness); SP16 (The historic and built environment) </w:t>
      </w:r>
      <w:r w:rsidR="00645787">
        <w:t>SP7 (Landscape character)</w:t>
      </w:r>
      <w:r w:rsidR="0034059C">
        <w:t xml:space="preserve">. </w:t>
      </w:r>
      <w:r>
        <w:t>This remains similar to previous reporting years.</w:t>
      </w:r>
    </w:p>
    <w:p w14:paraId="64B0C2C3" w14:textId="77777777" w:rsidR="00011D29" w:rsidRPr="00217CA0" w:rsidRDefault="00011D29" w:rsidP="00011D29">
      <w:pPr>
        <w:pStyle w:val="ListParagraph"/>
        <w:ind w:right="-24"/>
        <w:rPr>
          <w:b/>
          <w:i/>
          <w:sz w:val="22"/>
        </w:rPr>
      </w:pPr>
    </w:p>
    <w:p w14:paraId="6C2CAAF3" w14:textId="3ADE29F9" w:rsidR="00011D29" w:rsidRDefault="00011D29" w:rsidP="004861DC">
      <w:pPr>
        <w:pStyle w:val="ListParagraph"/>
        <w:spacing w:after="240"/>
        <w:rPr>
          <w:b/>
          <w:iCs/>
          <w:sz w:val="22"/>
        </w:rPr>
      </w:pPr>
      <w:r w:rsidRPr="008B5A5D">
        <w:rPr>
          <w:b/>
          <w:iCs/>
          <w:sz w:val="22"/>
        </w:rPr>
        <w:t>Figure</w:t>
      </w:r>
      <w:r w:rsidRPr="003E307E">
        <w:rPr>
          <w:b/>
          <w:iCs/>
          <w:sz w:val="22"/>
        </w:rPr>
        <w:t xml:space="preserve"> 2: Reasons cited in refusals of planning applications 202</w:t>
      </w:r>
      <w:r w:rsidR="0038080F">
        <w:rPr>
          <w:b/>
          <w:iCs/>
          <w:sz w:val="22"/>
        </w:rPr>
        <w:t>4</w:t>
      </w:r>
      <w:r w:rsidRPr="003E307E">
        <w:rPr>
          <w:b/>
          <w:iCs/>
          <w:sz w:val="22"/>
        </w:rPr>
        <w:t xml:space="preserve"> / 2</w:t>
      </w:r>
      <w:r w:rsidR="0038080F">
        <w:rPr>
          <w:b/>
          <w:iCs/>
          <w:sz w:val="22"/>
        </w:rPr>
        <w:t>5</w:t>
      </w:r>
    </w:p>
    <w:p w14:paraId="2641C564" w14:textId="77777777" w:rsidR="004861DC" w:rsidRPr="003E307E" w:rsidRDefault="004861DC" w:rsidP="004861DC">
      <w:pPr>
        <w:pStyle w:val="ListParagraph"/>
        <w:spacing w:after="240"/>
        <w:rPr>
          <w:iCs/>
          <w:sz w:val="22"/>
        </w:rPr>
      </w:pPr>
    </w:p>
    <w:p w14:paraId="08A70CA4" w14:textId="38E342CB" w:rsidR="00011D29" w:rsidRPr="00217CA0" w:rsidRDefault="00F83129" w:rsidP="00011D29">
      <w:pPr>
        <w:pStyle w:val="ListParagraph"/>
        <w:ind w:left="567"/>
        <w:rPr>
          <w:i/>
          <w:sz w:val="18"/>
        </w:rPr>
      </w:pPr>
      <w:r>
        <w:rPr>
          <w:noProof/>
          <w14:ligatures w14:val="standardContextual"/>
        </w:rPr>
        <w:drawing>
          <wp:inline distT="0" distB="0" distL="0" distR="0" wp14:anchorId="018630FA" wp14:editId="7CFF1E90">
            <wp:extent cx="4777740" cy="2186940"/>
            <wp:effectExtent l="0" t="0" r="3810" b="3810"/>
            <wp:docPr id="472329043" name="Chart 1">
              <a:extLst xmlns:a="http://schemas.openxmlformats.org/drawingml/2006/main">
                <a:ext uri="{FF2B5EF4-FFF2-40B4-BE49-F238E27FC236}">
                  <a16:creationId xmlns:a16="http://schemas.microsoft.com/office/drawing/2014/main" id="{5ADEA09A-D2FB-DFB2-2DC0-EB6DCFB22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B9C9379" w14:textId="38AD9DA6" w:rsidR="00011D29" w:rsidRPr="00AF62E6" w:rsidRDefault="00011D29" w:rsidP="00011D29">
      <w:pPr>
        <w:pStyle w:val="ListParagraph"/>
        <w:rPr>
          <w:iCs/>
        </w:rPr>
      </w:pPr>
      <w:r w:rsidRPr="00AF62E6">
        <w:rPr>
          <w:iCs/>
          <w:sz w:val="18"/>
        </w:rPr>
        <w:t>Source: NFNPA</w:t>
      </w:r>
    </w:p>
    <w:p w14:paraId="10D23CA9" w14:textId="77777777" w:rsidR="00011D29" w:rsidRPr="00217CA0" w:rsidRDefault="00011D29" w:rsidP="00011D29">
      <w:pPr>
        <w:ind w:right="-164"/>
      </w:pPr>
    </w:p>
    <w:p w14:paraId="6C6DDF9B" w14:textId="77777777" w:rsidR="00011D29" w:rsidRPr="00217CA0" w:rsidRDefault="00011D29" w:rsidP="00011D29">
      <w:pPr>
        <w:pStyle w:val="Heading4"/>
        <w:spacing w:before="0"/>
      </w:pPr>
      <w:r w:rsidRPr="008A05D5">
        <w:t>Appeal</w:t>
      </w:r>
      <w:r w:rsidRPr="00217CA0">
        <w:t xml:space="preserve"> decisions</w:t>
      </w:r>
    </w:p>
    <w:p w14:paraId="4E2830B3" w14:textId="77777777" w:rsidR="00011D29" w:rsidRPr="00217CA0" w:rsidRDefault="00011D29" w:rsidP="00011D29">
      <w:pPr>
        <w:pStyle w:val="ListParagraph"/>
        <w:ind w:left="709"/>
        <w:jc w:val="both"/>
        <w:rPr>
          <w:szCs w:val="32"/>
        </w:rPr>
      </w:pPr>
    </w:p>
    <w:p w14:paraId="76E11260" w14:textId="4AD5C632" w:rsidR="00011D29" w:rsidRDefault="00011D29" w:rsidP="00011D29">
      <w:pPr>
        <w:pStyle w:val="ListParagraph"/>
        <w:numPr>
          <w:ilvl w:val="1"/>
          <w:numId w:val="10"/>
        </w:numPr>
        <w:suppressAutoHyphens/>
        <w:ind w:left="567" w:hanging="567"/>
      </w:pPr>
      <w:r w:rsidRPr="008B5A5D">
        <w:t>Of</w:t>
      </w:r>
      <w:r>
        <w:t xml:space="preserve"> the </w:t>
      </w:r>
      <w:r w:rsidR="008B2C98">
        <w:t>31</w:t>
      </w:r>
      <w:r>
        <w:t xml:space="preserve"> planning applications refused permission during the monitoring period </w:t>
      </w:r>
      <w:r w:rsidR="001C1A33">
        <w:t>11</w:t>
      </w:r>
      <w:r>
        <w:t xml:space="preserve"> subsequently were subject to an appeal. The chart below shows the outcome of those appeals.</w:t>
      </w:r>
    </w:p>
    <w:p w14:paraId="338AD46D" w14:textId="77777777" w:rsidR="00011D29" w:rsidRDefault="00011D29" w:rsidP="00011D29">
      <w:pPr>
        <w:pStyle w:val="ListParagraph"/>
        <w:ind w:left="709"/>
      </w:pPr>
    </w:p>
    <w:p w14:paraId="700434A2" w14:textId="0EDB5FF7" w:rsidR="00011D29" w:rsidRPr="00AF62E6" w:rsidRDefault="00011D29" w:rsidP="00011D29">
      <w:pPr>
        <w:ind w:left="709"/>
        <w:rPr>
          <w:rFonts w:eastAsia="Times New Roman"/>
          <w:b/>
          <w:iCs/>
          <w:sz w:val="22"/>
          <w:szCs w:val="24"/>
          <w:lang w:eastAsia="ar-SA"/>
        </w:rPr>
      </w:pPr>
      <w:r w:rsidRPr="008B5A5D">
        <w:rPr>
          <w:rFonts w:eastAsia="Times New Roman"/>
          <w:b/>
          <w:iCs/>
          <w:sz w:val="22"/>
          <w:szCs w:val="24"/>
          <w:lang w:eastAsia="ar-SA"/>
        </w:rPr>
        <w:t>Figure</w:t>
      </w:r>
      <w:r w:rsidRPr="00AF62E6">
        <w:rPr>
          <w:rFonts w:eastAsia="Times New Roman"/>
          <w:b/>
          <w:iCs/>
          <w:sz w:val="22"/>
          <w:szCs w:val="24"/>
          <w:lang w:eastAsia="ar-SA"/>
        </w:rPr>
        <w:t xml:space="preserve"> 3: Outcome of planning applications refused during 202</w:t>
      </w:r>
      <w:r w:rsidR="001C1A33">
        <w:rPr>
          <w:rFonts w:eastAsia="Times New Roman"/>
          <w:b/>
          <w:iCs/>
          <w:sz w:val="22"/>
          <w:szCs w:val="24"/>
          <w:lang w:eastAsia="ar-SA"/>
        </w:rPr>
        <w:t>4</w:t>
      </w:r>
      <w:r w:rsidRPr="00AF62E6">
        <w:rPr>
          <w:rFonts w:eastAsia="Times New Roman"/>
          <w:b/>
          <w:iCs/>
          <w:sz w:val="22"/>
          <w:szCs w:val="24"/>
          <w:lang w:eastAsia="ar-SA"/>
        </w:rPr>
        <w:t xml:space="preserve"> / 202</w:t>
      </w:r>
      <w:r w:rsidR="001C1A33">
        <w:rPr>
          <w:rFonts w:eastAsia="Times New Roman"/>
          <w:b/>
          <w:iCs/>
          <w:sz w:val="22"/>
          <w:szCs w:val="24"/>
          <w:lang w:eastAsia="ar-SA"/>
        </w:rPr>
        <w:t>5</w:t>
      </w:r>
      <w:r w:rsidRPr="00AF62E6">
        <w:rPr>
          <w:rFonts w:eastAsia="Times New Roman"/>
          <w:b/>
          <w:iCs/>
          <w:sz w:val="22"/>
          <w:szCs w:val="24"/>
          <w:lang w:eastAsia="ar-SA"/>
        </w:rPr>
        <w:t xml:space="preserve"> and subject to appeal </w:t>
      </w:r>
    </w:p>
    <w:p w14:paraId="6C641F4A" w14:textId="28AB02DC" w:rsidR="00011D29" w:rsidRDefault="00485492" w:rsidP="00011D29">
      <w:pPr>
        <w:pStyle w:val="ListParagraph"/>
        <w:ind w:left="709"/>
      </w:pPr>
      <w:r>
        <w:rPr>
          <w:noProof/>
          <w14:ligatures w14:val="standardContextual"/>
        </w:rPr>
        <w:drawing>
          <wp:inline distT="0" distB="0" distL="0" distR="0" wp14:anchorId="43997F06" wp14:editId="28B9DFFC">
            <wp:extent cx="4975860" cy="1821180"/>
            <wp:effectExtent l="0" t="0" r="15240" b="7620"/>
            <wp:docPr id="1310568382" name="Chart 1">
              <a:extLst xmlns:a="http://schemas.openxmlformats.org/drawingml/2006/main">
                <a:ext uri="{FF2B5EF4-FFF2-40B4-BE49-F238E27FC236}">
                  <a16:creationId xmlns:a16="http://schemas.microsoft.com/office/drawing/2014/main" id="{82391014-11FF-6C84-C137-FDEB6955A3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113E36" w14:textId="77777777" w:rsidR="00011D29" w:rsidRPr="00AF62E6" w:rsidRDefault="00011D29" w:rsidP="00011D29">
      <w:pPr>
        <w:pStyle w:val="ListParagraph"/>
        <w:rPr>
          <w:iCs/>
        </w:rPr>
      </w:pPr>
      <w:r w:rsidRPr="00AF62E6">
        <w:rPr>
          <w:iCs/>
          <w:sz w:val="18"/>
        </w:rPr>
        <w:t>Source: NFNPA</w:t>
      </w:r>
    </w:p>
    <w:p w14:paraId="288C7FDA" w14:textId="77777777" w:rsidR="00011D29" w:rsidRDefault="00011D29" w:rsidP="00011D29">
      <w:pPr>
        <w:pStyle w:val="ListParagraph"/>
        <w:ind w:left="709"/>
      </w:pPr>
    </w:p>
    <w:p w14:paraId="311186B1" w14:textId="08BE6762" w:rsidR="00011D29" w:rsidRPr="00217CA0" w:rsidRDefault="00011D29" w:rsidP="00011D29">
      <w:pPr>
        <w:pStyle w:val="ListParagraph"/>
        <w:numPr>
          <w:ilvl w:val="1"/>
          <w:numId w:val="10"/>
        </w:numPr>
        <w:suppressAutoHyphens/>
        <w:ind w:left="709" w:hanging="709"/>
      </w:pPr>
      <w:r>
        <w:lastRenderedPageBreak/>
        <w:t>A</w:t>
      </w:r>
      <w:r w:rsidRPr="00217CA0">
        <w:t xml:space="preserve"> </w:t>
      </w:r>
      <w:r w:rsidRPr="008B5A5D">
        <w:t>total</w:t>
      </w:r>
      <w:r w:rsidRPr="00217CA0">
        <w:t xml:space="preserve"> of </w:t>
      </w:r>
      <w:r w:rsidR="007975EF">
        <w:t>23</w:t>
      </w:r>
      <w:r w:rsidRPr="00217CA0">
        <w:t xml:space="preserve"> planning appeals were determined by the Planning Inspectorate during the monitoring period (some of which were refused planning permission by the Authority during the previous monitoring year), and their outcome is illustrated in Figure 4 </w:t>
      </w:r>
      <w:r>
        <w:t>below</w:t>
      </w:r>
      <w:r w:rsidRPr="00217CA0">
        <w:t xml:space="preserve">. The number of appeals determined by the Planning Inspectorate is </w:t>
      </w:r>
      <w:r>
        <w:t>slightly higher</w:t>
      </w:r>
      <w:r w:rsidRPr="00217CA0">
        <w:t xml:space="preserve"> than last year (</w:t>
      </w:r>
      <w:r>
        <w:t>1</w:t>
      </w:r>
      <w:r w:rsidR="007975EF">
        <w:t>9</w:t>
      </w:r>
      <w:r w:rsidRPr="00217CA0">
        <w:t xml:space="preserve"> determined last year), although the proportions of appeals allowed and dismissed remain broadly similar to those from last year, as shown in the chart </w:t>
      </w:r>
      <w:r>
        <w:t>below</w:t>
      </w:r>
      <w:r w:rsidRPr="00217CA0">
        <w:t>.</w:t>
      </w:r>
    </w:p>
    <w:p w14:paraId="08690C7F" w14:textId="77777777" w:rsidR="00011D29" w:rsidRPr="00217CA0" w:rsidRDefault="00011D29" w:rsidP="00011D29">
      <w:pPr>
        <w:pStyle w:val="ListParagraph"/>
        <w:ind w:left="709"/>
      </w:pPr>
    </w:p>
    <w:p w14:paraId="41110F98" w14:textId="77777777" w:rsidR="00011D29" w:rsidRPr="004B5920" w:rsidRDefault="00011D29" w:rsidP="00011D29">
      <w:pPr>
        <w:ind w:left="709"/>
        <w:jc w:val="both"/>
        <w:rPr>
          <w:rFonts w:eastAsia="Times New Roman"/>
          <w:b/>
          <w:iCs/>
          <w:sz w:val="22"/>
          <w:szCs w:val="24"/>
          <w:lang w:eastAsia="ar-SA"/>
        </w:rPr>
      </w:pPr>
      <w:r w:rsidRPr="008B5A5D">
        <w:rPr>
          <w:rFonts w:eastAsia="Times New Roman"/>
          <w:b/>
          <w:iCs/>
          <w:sz w:val="22"/>
          <w:szCs w:val="24"/>
          <w:lang w:eastAsia="ar-SA"/>
        </w:rPr>
        <w:t>Figure</w:t>
      </w:r>
      <w:r w:rsidRPr="004B5920">
        <w:rPr>
          <w:rFonts w:eastAsia="Times New Roman"/>
          <w:b/>
          <w:iCs/>
          <w:sz w:val="22"/>
          <w:szCs w:val="24"/>
          <w:lang w:eastAsia="ar-SA"/>
        </w:rPr>
        <w:t xml:space="preserve"> 4: Outcome of appeals determined since 2014 / 15</w:t>
      </w:r>
    </w:p>
    <w:p w14:paraId="4690218B" w14:textId="724F11F3" w:rsidR="00011D29" w:rsidRPr="00217CA0" w:rsidRDefault="007975EF" w:rsidP="00011D29">
      <w:pPr>
        <w:ind w:left="709"/>
        <w:jc w:val="both"/>
        <w:rPr>
          <w:i/>
          <w:sz w:val="18"/>
          <w:szCs w:val="18"/>
        </w:rPr>
      </w:pPr>
      <w:r>
        <w:rPr>
          <w:noProof/>
          <w14:ligatures w14:val="standardContextual"/>
        </w:rPr>
        <w:drawing>
          <wp:inline distT="0" distB="0" distL="0" distR="0" wp14:anchorId="5E708DAA" wp14:editId="50F5A8BB">
            <wp:extent cx="5318760" cy="2392680"/>
            <wp:effectExtent l="0" t="0" r="15240" b="7620"/>
            <wp:docPr id="654813855" name="Chart 1">
              <a:extLst xmlns:a="http://schemas.openxmlformats.org/drawingml/2006/main">
                <a:ext uri="{FF2B5EF4-FFF2-40B4-BE49-F238E27FC236}">
                  <a16:creationId xmlns:a16="http://schemas.microsoft.com/office/drawing/2014/main" id="{6A44B8BA-B015-FB82-26C9-85DFD6F5B9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63BDD8" w14:textId="77777777" w:rsidR="00011D29" w:rsidRPr="004B5920" w:rsidRDefault="00011D29" w:rsidP="00011D29">
      <w:pPr>
        <w:ind w:left="709"/>
        <w:jc w:val="both"/>
        <w:rPr>
          <w:iCs/>
          <w:sz w:val="18"/>
          <w:szCs w:val="18"/>
        </w:rPr>
      </w:pPr>
      <w:r w:rsidRPr="004B5920">
        <w:rPr>
          <w:iCs/>
          <w:sz w:val="18"/>
          <w:szCs w:val="18"/>
        </w:rPr>
        <w:t>Source: NFNPA</w:t>
      </w:r>
    </w:p>
    <w:p w14:paraId="6776D3F8" w14:textId="77777777" w:rsidR="00011D29" w:rsidRPr="00217CA0" w:rsidRDefault="00011D29" w:rsidP="00011D29">
      <w:pPr>
        <w:pStyle w:val="ListParagraph"/>
        <w:ind w:left="0"/>
      </w:pPr>
    </w:p>
    <w:p w14:paraId="54AEBC64" w14:textId="766080BF" w:rsidR="00011D29" w:rsidRDefault="00011D29" w:rsidP="00011D29">
      <w:pPr>
        <w:pStyle w:val="ListParagraph"/>
        <w:numPr>
          <w:ilvl w:val="1"/>
          <w:numId w:val="10"/>
        </w:numPr>
        <w:suppressAutoHyphens/>
        <w:ind w:left="709" w:hanging="709"/>
      </w:pPr>
      <w:r w:rsidRPr="008B5A5D">
        <w:t>The</w:t>
      </w:r>
      <w:r w:rsidRPr="00217CA0">
        <w:t xml:space="preserve"> Authority’s planning team keeps an index of relevant appeal decisions within the National Park which are cited in our appeal written statements. Members are regularly updated at the monthly Planning Committee meetings with relevant appeal decisions</w:t>
      </w:r>
      <w:r>
        <w:t>. S</w:t>
      </w:r>
      <w:r w:rsidRPr="00217CA0">
        <w:t xml:space="preserve">et out below is a summary of </w:t>
      </w:r>
      <w:r w:rsidR="00F740A4">
        <w:t>a couple</w:t>
      </w:r>
      <w:r w:rsidRPr="00217CA0">
        <w:t xml:space="preserve"> of the more typical appeal decisions received in </w:t>
      </w:r>
      <w:r w:rsidR="00AF49FE">
        <w:t>this</w:t>
      </w:r>
      <w:r w:rsidRPr="00217CA0">
        <w:t xml:space="preserve"> monitoring year.</w:t>
      </w:r>
    </w:p>
    <w:p w14:paraId="70B4863E" w14:textId="77777777" w:rsidR="009B36FB" w:rsidRDefault="009B36FB" w:rsidP="009B36FB">
      <w:pPr>
        <w:pStyle w:val="ListParagraph"/>
        <w:suppressAutoHyphens/>
        <w:ind w:left="709"/>
      </w:pPr>
    </w:p>
    <w:p w14:paraId="5E757C2A" w14:textId="49D7BD27" w:rsidR="00E5467A" w:rsidRDefault="00857C58" w:rsidP="00011D29">
      <w:pPr>
        <w:pStyle w:val="ListParagraph"/>
        <w:numPr>
          <w:ilvl w:val="1"/>
          <w:numId w:val="10"/>
        </w:numPr>
        <w:suppressAutoHyphens/>
        <w:ind w:left="709" w:hanging="709"/>
      </w:pPr>
      <w:r w:rsidRPr="008B5A5D">
        <w:t>Planning</w:t>
      </w:r>
      <w:r>
        <w:t xml:space="preserve"> consent was sought for a </w:t>
      </w:r>
      <w:proofErr w:type="gramStart"/>
      <w:r w:rsidR="008736A9">
        <w:t>first floor</w:t>
      </w:r>
      <w:proofErr w:type="gramEnd"/>
      <w:r w:rsidR="008736A9">
        <w:t xml:space="preserve"> balcony</w:t>
      </w:r>
      <w:r>
        <w:t xml:space="preserve"> in </w:t>
      </w:r>
      <w:proofErr w:type="spellStart"/>
      <w:r w:rsidR="000D202C">
        <w:t>Godshill</w:t>
      </w:r>
      <w:proofErr w:type="spellEnd"/>
      <w:r>
        <w:t xml:space="preserve"> </w:t>
      </w:r>
      <w:r w:rsidR="008E655B">
        <w:t xml:space="preserve">but was refused permission in </w:t>
      </w:r>
      <w:r w:rsidR="000D202C">
        <w:t>March</w:t>
      </w:r>
      <w:r w:rsidR="008E655B">
        <w:t xml:space="preserve"> 2024</w:t>
      </w:r>
      <w:r w:rsidR="004770C3">
        <w:t xml:space="preserve">. A subsequent appeal was allowed in </w:t>
      </w:r>
      <w:r w:rsidR="005B7197">
        <w:t>January</w:t>
      </w:r>
      <w:r w:rsidR="00CC54B6">
        <w:t xml:space="preserve"> 202</w:t>
      </w:r>
      <w:r w:rsidR="005B7197">
        <w:t>5</w:t>
      </w:r>
      <w:r w:rsidR="00CC54B6">
        <w:t xml:space="preserve">. The </w:t>
      </w:r>
      <w:r w:rsidR="001D1A56" w:rsidRPr="001D1A56">
        <w:t xml:space="preserve">main issue </w:t>
      </w:r>
      <w:r w:rsidR="001D1A56">
        <w:t>was</w:t>
      </w:r>
      <w:r w:rsidR="001D1A56" w:rsidRPr="001D1A56">
        <w:t xml:space="preserve"> the effect of the proposed development on the character and appearance of the area, the Western Escarpment Conservation Area</w:t>
      </w:r>
      <w:r w:rsidR="00FF3688">
        <w:t xml:space="preserve"> and the wider National Park.</w:t>
      </w:r>
      <w:r w:rsidR="008217AD">
        <w:t xml:space="preserve"> The planning insp</w:t>
      </w:r>
      <w:r w:rsidR="00FD2247">
        <w:t>ector noted the National Park’s special qualities</w:t>
      </w:r>
      <w:r w:rsidR="00FD5F6B">
        <w:t xml:space="preserve"> and recognised that </w:t>
      </w:r>
      <w:r w:rsidR="00545959">
        <w:t>“</w:t>
      </w:r>
      <w:r w:rsidR="00FD5F6B" w:rsidRPr="00FD5F6B">
        <w:t>I am conscious of my duty to seek to further the two statutory purposes of the National Park</w:t>
      </w:r>
      <w:r w:rsidR="00545959">
        <w:t xml:space="preserve">”. </w:t>
      </w:r>
      <w:r w:rsidR="00E5467A">
        <w:t xml:space="preserve">The Inspector </w:t>
      </w:r>
      <w:r w:rsidR="009968FA">
        <w:t xml:space="preserve">felt that the site benefitted from </w:t>
      </w:r>
      <w:r w:rsidR="009968FA" w:rsidRPr="009968FA">
        <w:t xml:space="preserve">significant mature planting on the boundaries of the property </w:t>
      </w:r>
      <w:r w:rsidR="00977B6F">
        <w:t xml:space="preserve">constituting </w:t>
      </w:r>
      <w:r w:rsidR="009968FA" w:rsidRPr="009968FA">
        <w:t>considerable screening</w:t>
      </w:r>
      <w:r w:rsidR="00977B6F">
        <w:t xml:space="preserve">. </w:t>
      </w:r>
      <w:r w:rsidR="001E322C">
        <w:t xml:space="preserve">Whilst the proposed balcony would be a relatively modern addition to the building the Inspector considered that as it was on a </w:t>
      </w:r>
      <w:r w:rsidR="007857D3">
        <w:t>more modern part of the building it would</w:t>
      </w:r>
      <w:r w:rsidR="004B467B">
        <w:t xml:space="preserve"> “</w:t>
      </w:r>
      <w:r w:rsidR="004B467B" w:rsidRPr="004B467B">
        <w:t>at least conserve, and make an arguable improvement to, the character and appearance of that part of the dwelling and its immediate setting</w:t>
      </w:r>
      <w:r w:rsidR="002E40E4">
        <w:t>”.</w:t>
      </w:r>
    </w:p>
    <w:p w14:paraId="5C2949E6" w14:textId="77777777" w:rsidR="00E5467A" w:rsidRDefault="00E5467A" w:rsidP="00E5467A">
      <w:pPr>
        <w:pStyle w:val="ListParagraph"/>
      </w:pPr>
    </w:p>
    <w:p w14:paraId="0D0D7B6D" w14:textId="6F9964EF" w:rsidR="009968FA" w:rsidRDefault="002E04C0" w:rsidP="00011D29">
      <w:pPr>
        <w:pStyle w:val="ListParagraph"/>
        <w:numPr>
          <w:ilvl w:val="1"/>
          <w:numId w:val="10"/>
        </w:numPr>
        <w:suppressAutoHyphens/>
        <w:ind w:left="709" w:hanging="709"/>
      </w:pPr>
      <w:r w:rsidRPr="008B5A5D">
        <w:t>U</w:t>
      </w:r>
      <w:r w:rsidR="00545959" w:rsidRPr="008B5A5D">
        <w:t>ltimately</w:t>
      </w:r>
      <w:r w:rsidR="00545959">
        <w:t xml:space="preserve"> the </w:t>
      </w:r>
      <w:r w:rsidR="00725233">
        <w:t xml:space="preserve">Inspector </w:t>
      </w:r>
      <w:r w:rsidR="00E5467A">
        <w:t>concluded that</w:t>
      </w:r>
      <w:r w:rsidR="00725233">
        <w:t xml:space="preserve"> </w:t>
      </w:r>
    </w:p>
    <w:p w14:paraId="5944BE5E" w14:textId="77777777" w:rsidR="009968FA" w:rsidRDefault="009968FA" w:rsidP="009968FA">
      <w:pPr>
        <w:pStyle w:val="ListParagraph"/>
      </w:pPr>
    </w:p>
    <w:p w14:paraId="05C9BAEF" w14:textId="2DA51324" w:rsidR="009B36FB" w:rsidRDefault="00E5467A" w:rsidP="009968FA">
      <w:pPr>
        <w:pStyle w:val="ListParagraph"/>
        <w:suppressAutoHyphens/>
        <w:ind w:left="709"/>
      </w:pPr>
      <w:r>
        <w:t>“</w:t>
      </w:r>
      <w:proofErr w:type="gramStart"/>
      <w:r w:rsidRPr="00E5467A">
        <w:t>the</w:t>
      </w:r>
      <w:proofErr w:type="gramEnd"/>
      <w:r w:rsidRPr="00E5467A">
        <w:t xml:space="preserve"> development would conserve and enhance the character and appearance of the NFNP, and the extent to which this contributes to its </w:t>
      </w:r>
      <w:r w:rsidRPr="00E5467A">
        <w:lastRenderedPageBreak/>
        <w:t>special qualities. The proposal would also conserve the significance and historical interest of the CA.</w:t>
      </w:r>
      <w:r w:rsidR="009968FA">
        <w:t>”</w:t>
      </w:r>
    </w:p>
    <w:p w14:paraId="0CB05F0D" w14:textId="77777777" w:rsidR="009B36FB" w:rsidRDefault="009B36FB" w:rsidP="009B36FB">
      <w:pPr>
        <w:pStyle w:val="ListParagraph"/>
      </w:pPr>
    </w:p>
    <w:p w14:paraId="4EF69FC4" w14:textId="6703AC03" w:rsidR="009B36FB" w:rsidRDefault="002D29E8" w:rsidP="009B36FB">
      <w:pPr>
        <w:pStyle w:val="ListParagraph"/>
        <w:numPr>
          <w:ilvl w:val="1"/>
          <w:numId w:val="10"/>
        </w:numPr>
        <w:suppressAutoHyphens/>
        <w:ind w:left="709" w:hanging="709"/>
      </w:pPr>
      <w:r w:rsidRPr="008B5A5D">
        <w:t>An</w:t>
      </w:r>
      <w:r>
        <w:t xml:space="preserve"> appeal was submitted for non-determination of </w:t>
      </w:r>
      <w:r w:rsidR="007B3E5B">
        <w:t>an application for the r</w:t>
      </w:r>
      <w:r w:rsidR="007B3E5B" w:rsidRPr="007B3E5B">
        <w:t xml:space="preserve">efurbishment and change of use of buildings and land </w:t>
      </w:r>
      <w:r w:rsidR="007C663A">
        <w:t>at</w:t>
      </w:r>
      <w:r w:rsidR="007B3E5B" w:rsidRPr="007B3E5B">
        <w:t xml:space="preserve"> a horse </w:t>
      </w:r>
      <w:r w:rsidR="001D6E8F">
        <w:t xml:space="preserve">stud </w:t>
      </w:r>
      <w:r w:rsidR="007C663A">
        <w:t xml:space="preserve">including the </w:t>
      </w:r>
      <w:r w:rsidR="007B3E5B" w:rsidRPr="007B3E5B">
        <w:t>siting of a mobile home for a temporary period of three years</w:t>
      </w:r>
      <w:r w:rsidR="000B0287">
        <w:t>.</w:t>
      </w:r>
      <w:r w:rsidR="007B3E5B" w:rsidRPr="007B3E5B">
        <w:t xml:space="preserve"> </w:t>
      </w:r>
      <w:r w:rsidR="00203890">
        <w:t xml:space="preserve">The main issues </w:t>
      </w:r>
      <w:r w:rsidR="004D1E23">
        <w:t xml:space="preserve">were </w:t>
      </w:r>
      <w:r w:rsidR="00203890" w:rsidRPr="00203890">
        <w:t xml:space="preserve">the potential effects on the ecological integrity of the protected European sites, including </w:t>
      </w:r>
      <w:proofErr w:type="gramStart"/>
      <w:r w:rsidR="00203890" w:rsidRPr="00203890">
        <w:t>with regard to</w:t>
      </w:r>
      <w:proofErr w:type="gramEnd"/>
      <w:r w:rsidR="00203890" w:rsidRPr="00203890">
        <w:t xml:space="preserve"> nutrient neutrality; whether the placement of a mobile home for a temporary period is acceptable</w:t>
      </w:r>
      <w:r w:rsidR="007E3297">
        <w:t>, and</w:t>
      </w:r>
      <w:r w:rsidR="00203890" w:rsidRPr="00203890">
        <w:t xml:space="preserve"> the effect of the proposed development on protected species.</w:t>
      </w:r>
      <w:r w:rsidR="00A96FD3">
        <w:t xml:space="preserve"> The site is </w:t>
      </w:r>
      <w:r w:rsidR="00F93F4E">
        <w:t xml:space="preserve">lies </w:t>
      </w:r>
      <w:r w:rsidR="004B7853">
        <w:t>within the zone of influence for the New Forest Special Protection Area</w:t>
      </w:r>
      <w:r w:rsidR="00014EE4">
        <w:t xml:space="preserve"> and Special Area of Conservation and therefore has the </w:t>
      </w:r>
      <w:r w:rsidR="00411878">
        <w:t>potential</w:t>
      </w:r>
      <w:r w:rsidR="00014EE4">
        <w:t xml:space="preserve"> to impact the </w:t>
      </w:r>
      <w:r w:rsidR="00411878">
        <w:t>integrity</w:t>
      </w:r>
      <w:r w:rsidR="00014EE4">
        <w:t xml:space="preserve"> of the</w:t>
      </w:r>
      <w:r w:rsidR="00411878">
        <w:t>se areas.</w:t>
      </w:r>
      <w:r w:rsidR="00014EE4">
        <w:t xml:space="preserve"> </w:t>
      </w:r>
      <w:r w:rsidR="004B7853">
        <w:t xml:space="preserve"> </w:t>
      </w:r>
      <w:r w:rsidR="007163A4">
        <w:t xml:space="preserve">Given </w:t>
      </w:r>
      <w:r w:rsidR="007B7296">
        <w:t xml:space="preserve">that Natural England had not raised any concerns, </w:t>
      </w:r>
      <w:r w:rsidR="004F794F">
        <w:t xml:space="preserve">together with </w:t>
      </w:r>
      <w:r w:rsidR="007163A4">
        <w:t xml:space="preserve">the Authority’s Mitigation Strategy, </w:t>
      </w:r>
      <w:r w:rsidR="002E5192">
        <w:t xml:space="preserve">the Inspector was </w:t>
      </w:r>
      <w:proofErr w:type="gramStart"/>
      <w:r w:rsidR="002E5192">
        <w:t>“..</w:t>
      </w:r>
      <w:proofErr w:type="gramEnd"/>
      <w:r w:rsidR="002E5192" w:rsidRPr="002E5192">
        <w:t>satisfied that the planning obligation secured would enable the delivery of mitigation sufficient to address the level of harm from recreational disturbance likely to be created by the development</w:t>
      </w:r>
      <w:r w:rsidR="002E5192">
        <w:t>”</w:t>
      </w:r>
      <w:r w:rsidR="00F93F4E">
        <w:t>.</w:t>
      </w:r>
    </w:p>
    <w:p w14:paraId="7E6F0042" w14:textId="77777777" w:rsidR="007E3297" w:rsidRDefault="007E3297" w:rsidP="007E3297">
      <w:pPr>
        <w:pStyle w:val="ListParagraph"/>
        <w:suppressAutoHyphens/>
        <w:ind w:left="709"/>
      </w:pPr>
    </w:p>
    <w:p w14:paraId="7A72AB16" w14:textId="5E29458B" w:rsidR="006C79E5" w:rsidRPr="00217CA0" w:rsidRDefault="004F794F" w:rsidP="003E2690">
      <w:pPr>
        <w:pStyle w:val="ListParagraph"/>
        <w:numPr>
          <w:ilvl w:val="1"/>
          <w:numId w:val="10"/>
        </w:numPr>
        <w:suppressAutoHyphens/>
        <w:ind w:left="709" w:hanging="709"/>
      </w:pPr>
      <w:proofErr w:type="gramStart"/>
      <w:r>
        <w:t>With regard to</w:t>
      </w:r>
      <w:proofErr w:type="gramEnd"/>
      <w:r>
        <w:t xml:space="preserve"> the issue of nutrient neutrality the </w:t>
      </w:r>
      <w:r w:rsidR="004C4860">
        <w:t>I</w:t>
      </w:r>
      <w:r w:rsidRPr="004C4860">
        <w:t>nspector con</w:t>
      </w:r>
      <w:r w:rsidR="004C4860">
        <w:t>c</w:t>
      </w:r>
      <w:r w:rsidR="004C4860" w:rsidRPr="004C4860">
        <w:t>luded</w:t>
      </w:r>
      <w:r w:rsidR="003C1E2F">
        <w:t xml:space="preserve"> </w:t>
      </w:r>
      <w:r w:rsidR="0039395D">
        <w:t xml:space="preserve">that </w:t>
      </w:r>
      <w:r w:rsidR="00747D58">
        <w:t>“</w:t>
      </w:r>
      <w:r w:rsidR="005B18BC" w:rsidRPr="005B18BC">
        <w:t>I, as the competent authority, am unable to rule out the possibility that the proposed development, either alone or in combination with other development, would have an adverse effect on the integrity of the protected sites. Consequently, having regard to the Habitats Regulations, permission must not be granted</w:t>
      </w:r>
      <w:r w:rsidR="0039395D">
        <w:t>”</w:t>
      </w:r>
      <w:r w:rsidR="005B18BC" w:rsidRPr="005B18BC">
        <w:t>.</w:t>
      </w:r>
      <w:r w:rsidR="004C4860">
        <w:rPr>
          <w:i/>
          <w:iCs/>
        </w:rPr>
        <w:t xml:space="preserve"> </w:t>
      </w:r>
      <w:r w:rsidR="00D04F89">
        <w:t>The appeal was dismissed in</w:t>
      </w:r>
      <w:r w:rsidR="0026539F">
        <w:t xml:space="preserve"> June 2024</w:t>
      </w:r>
      <w:r w:rsidR="00D04F89">
        <w:t xml:space="preserve"> </w:t>
      </w:r>
      <w:proofErr w:type="gramStart"/>
      <w:r w:rsidR="00D04F89">
        <w:t>on the basis of</w:t>
      </w:r>
      <w:proofErr w:type="gramEnd"/>
      <w:r w:rsidR="00D04F89">
        <w:t xml:space="preserve"> the </w:t>
      </w:r>
      <w:r w:rsidR="0026539F">
        <w:t xml:space="preserve">failure to comply with the Habitats Regulations, </w:t>
      </w:r>
      <w:r w:rsidR="00EA77BA">
        <w:t xml:space="preserve">and </w:t>
      </w:r>
      <w:r w:rsidR="00DB749B">
        <w:t>failure to accord with policy SP6</w:t>
      </w:r>
      <w:r w:rsidR="00657AA0">
        <w:t xml:space="preserve"> (The natural environment)</w:t>
      </w:r>
      <w:r w:rsidR="006C79E5">
        <w:t>. The Inspector concluded</w:t>
      </w:r>
      <w:r w:rsidR="003E2690">
        <w:t xml:space="preserve"> that </w:t>
      </w:r>
      <w:r w:rsidR="006C79E5">
        <w:t>“</w:t>
      </w:r>
      <w:r w:rsidR="006C79E5" w:rsidRPr="006C79E5">
        <w:t xml:space="preserve">the proposal conflicts with the development plan as a whole and there are no material considerations, including the </w:t>
      </w:r>
      <w:r w:rsidR="003E2690">
        <w:t xml:space="preserve">(National Planning Policy) </w:t>
      </w:r>
      <w:r w:rsidR="006C79E5" w:rsidRPr="006C79E5">
        <w:t>Framework, which outweigh that conflict</w:t>
      </w:r>
      <w:r w:rsidR="006A6EB2">
        <w:t>”.</w:t>
      </w:r>
    </w:p>
    <w:p w14:paraId="66DC8E02" w14:textId="77777777" w:rsidR="00011D29" w:rsidRDefault="00011D29" w:rsidP="00011D29">
      <w:pPr>
        <w:pStyle w:val="ListParagraph"/>
        <w:ind w:left="0"/>
        <w:jc w:val="both"/>
        <w:rPr>
          <w:i/>
          <w:highlight w:val="green"/>
        </w:rPr>
      </w:pPr>
    </w:p>
    <w:p w14:paraId="34EAA74F" w14:textId="77777777" w:rsidR="0029349E" w:rsidRPr="00925B9F" w:rsidRDefault="0029349E" w:rsidP="00011D29">
      <w:pPr>
        <w:pStyle w:val="ListParagraph"/>
        <w:ind w:left="0"/>
        <w:jc w:val="both"/>
        <w:rPr>
          <w:iCs/>
          <w:highlight w:val="green"/>
        </w:rPr>
      </w:pPr>
    </w:p>
    <w:p w14:paraId="3640C0FD" w14:textId="77777777" w:rsidR="00011D29" w:rsidRPr="00217CA0" w:rsidRDefault="00011D29" w:rsidP="00011D29">
      <w:pPr>
        <w:pStyle w:val="Heading4"/>
        <w:spacing w:before="0"/>
      </w:pPr>
      <w:r w:rsidRPr="00217CA0">
        <w:t>Village Design Statements</w:t>
      </w:r>
    </w:p>
    <w:p w14:paraId="6D3870B7" w14:textId="77777777" w:rsidR="00011D29" w:rsidRPr="00217CA0" w:rsidRDefault="00011D29" w:rsidP="00011D29">
      <w:pPr>
        <w:pStyle w:val="ListParagraph"/>
        <w:ind w:left="709"/>
        <w:jc w:val="both"/>
      </w:pPr>
    </w:p>
    <w:p w14:paraId="70BE3AD8" w14:textId="2E059392" w:rsidR="00011D29" w:rsidRDefault="00011D29" w:rsidP="00AB43EB">
      <w:pPr>
        <w:pStyle w:val="ListParagraph"/>
        <w:numPr>
          <w:ilvl w:val="1"/>
          <w:numId w:val="10"/>
        </w:numPr>
        <w:suppressAutoHyphens/>
        <w:ind w:left="709" w:right="-24" w:hanging="709"/>
      </w:pPr>
      <w:r w:rsidRPr="008B5A5D">
        <w:t>The</w:t>
      </w:r>
      <w:r w:rsidRPr="00217CA0">
        <w:t xml:space="preserve"> Authority support</w:t>
      </w:r>
      <w:r w:rsidR="00063759">
        <w:t>s</w:t>
      </w:r>
      <w:r w:rsidRPr="00217CA0">
        <w:t xml:space="preserve"> the production of Village Design Statements (VDS) by parish councils to provide a more locally specific document </w:t>
      </w:r>
      <w:r w:rsidR="009708EA">
        <w:t>to</w:t>
      </w:r>
      <w:r w:rsidRPr="00217CA0">
        <w:t xml:space="preserve"> sit alongside the Authority’s adopted Design Guide Supplementary Planning Document. These </w:t>
      </w:r>
      <w:r w:rsidR="009708EA">
        <w:t>are</w:t>
      </w:r>
      <w:r w:rsidRPr="00217CA0">
        <w:t xml:space="preserve"> a material consideration in the assessment of planning applications. </w:t>
      </w:r>
    </w:p>
    <w:p w14:paraId="2B181F91" w14:textId="77777777" w:rsidR="00AB43EB" w:rsidRPr="00217CA0" w:rsidRDefault="00AB43EB" w:rsidP="00AB43EB">
      <w:pPr>
        <w:pStyle w:val="ListParagraph"/>
        <w:suppressAutoHyphens/>
        <w:ind w:left="709" w:right="-24"/>
      </w:pPr>
    </w:p>
    <w:p w14:paraId="4CE46EDF" w14:textId="2A38FA15" w:rsidR="00011D29" w:rsidRPr="00217CA0" w:rsidRDefault="00011D29" w:rsidP="00011D29">
      <w:pPr>
        <w:pStyle w:val="ListParagraph"/>
        <w:numPr>
          <w:ilvl w:val="1"/>
          <w:numId w:val="10"/>
        </w:numPr>
        <w:suppressAutoHyphens/>
        <w:ind w:left="709" w:right="-24" w:hanging="709"/>
      </w:pPr>
      <w:r w:rsidRPr="008B5A5D">
        <w:t>Individual</w:t>
      </w:r>
      <w:r w:rsidRPr="00217CA0">
        <w:t xml:space="preserve"> Village Design Statements have been adopted for Wellow (2011), Landford (2011), Ashurst and Colbury (2013), Boldre Parish (2013), Sway (2013), and </w:t>
      </w:r>
      <w:proofErr w:type="spellStart"/>
      <w:r w:rsidRPr="00217CA0">
        <w:t>Hordle</w:t>
      </w:r>
      <w:proofErr w:type="spellEnd"/>
      <w:r w:rsidRPr="00217CA0">
        <w:t xml:space="preserve"> (2015). A VDS covering Hyde was </w:t>
      </w:r>
      <w:r>
        <w:t xml:space="preserve">initially </w:t>
      </w:r>
      <w:r w:rsidRPr="00217CA0">
        <w:t xml:space="preserve">adopted in 2012, </w:t>
      </w:r>
      <w:r w:rsidR="003127A9">
        <w:t>with</w:t>
      </w:r>
      <w:r>
        <w:t xml:space="preserve"> a revised version adopted </w:t>
      </w:r>
      <w:r w:rsidRPr="00217CA0">
        <w:t>in 2022.</w:t>
      </w:r>
    </w:p>
    <w:p w14:paraId="727E4B55" w14:textId="77777777" w:rsidR="00011D29" w:rsidRPr="00217CA0" w:rsidRDefault="00011D29" w:rsidP="00011D29">
      <w:pPr>
        <w:pStyle w:val="ListParagraph"/>
        <w:ind w:right="-24"/>
      </w:pPr>
    </w:p>
    <w:p w14:paraId="78283BEF" w14:textId="77777777" w:rsidR="00AB4677" w:rsidRDefault="00011D29" w:rsidP="0051193B">
      <w:pPr>
        <w:pStyle w:val="ListParagraph"/>
        <w:numPr>
          <w:ilvl w:val="1"/>
          <w:numId w:val="10"/>
        </w:numPr>
        <w:suppressAutoHyphens/>
        <w:ind w:left="709" w:right="-24" w:hanging="709"/>
      </w:pPr>
      <w:r w:rsidRPr="008B5A5D">
        <w:t>Additionally</w:t>
      </w:r>
      <w:r w:rsidRPr="00217CA0">
        <w:t xml:space="preserve">, the Authority holds an annual Building Design Awards that recognise high quality design and the best new developments in the National Park, with residential schemes, non-residential schemes, conservation projects and green buildings all eligible for an award. </w:t>
      </w:r>
      <w:r w:rsidR="0051193B">
        <w:t xml:space="preserve">The latest award winners </w:t>
      </w:r>
      <w:r w:rsidR="00B53D71">
        <w:t xml:space="preserve">were </w:t>
      </w:r>
      <w:r w:rsidR="0051193B">
        <w:t>announced in March 2026 and</w:t>
      </w:r>
      <w:r w:rsidR="00B53D71">
        <w:t xml:space="preserve"> comprised</w:t>
      </w:r>
      <w:r w:rsidR="003E7B8D">
        <w:t xml:space="preserve"> Rose Cottage in </w:t>
      </w:r>
      <w:proofErr w:type="spellStart"/>
      <w:r w:rsidR="003E7B8D">
        <w:t>Frogham</w:t>
      </w:r>
      <w:proofErr w:type="spellEnd"/>
      <w:r w:rsidR="003E7B8D">
        <w:t xml:space="preserve"> winning </w:t>
      </w:r>
      <w:r w:rsidR="004D0397">
        <w:t>Best Conservation Project for the restoration of a Grade II</w:t>
      </w:r>
      <w:r w:rsidR="00EB08E9">
        <w:t xml:space="preserve"> listed clay cob cottage</w:t>
      </w:r>
      <w:r w:rsidR="0051193B">
        <w:t xml:space="preserve"> </w:t>
      </w:r>
      <w:r w:rsidR="00EB08E9">
        <w:t>which had stood empty for several years</w:t>
      </w:r>
      <w:r w:rsidR="00CA520A">
        <w:t xml:space="preserve">. </w:t>
      </w:r>
      <w:proofErr w:type="spellStart"/>
      <w:r w:rsidR="00CA520A">
        <w:t>Paultons</w:t>
      </w:r>
      <w:proofErr w:type="spellEnd"/>
      <w:r w:rsidR="00CA520A">
        <w:t xml:space="preserve"> </w:t>
      </w:r>
      <w:r w:rsidR="00CA520A">
        <w:lastRenderedPageBreak/>
        <w:t xml:space="preserve">Park theme park won the </w:t>
      </w:r>
      <w:r w:rsidR="00C82E4F">
        <w:t xml:space="preserve">Best Green Project for the </w:t>
      </w:r>
      <w:r w:rsidR="0059731D">
        <w:t>creation of four solar ca</w:t>
      </w:r>
      <w:r w:rsidR="005E04CC">
        <w:t>r ports</w:t>
      </w:r>
      <w:r w:rsidR="0059731D">
        <w:t xml:space="preserve"> and battery storage </w:t>
      </w:r>
      <w:r w:rsidR="005E04CC">
        <w:t>in the</w:t>
      </w:r>
      <w:r w:rsidR="002E3F59">
        <w:t xml:space="preserve">ir existing car park. </w:t>
      </w:r>
    </w:p>
    <w:p w14:paraId="3A902521" w14:textId="77777777" w:rsidR="00AB4677" w:rsidRDefault="00AB4677" w:rsidP="00AB4677">
      <w:pPr>
        <w:pStyle w:val="ListParagraph"/>
      </w:pPr>
    </w:p>
    <w:p w14:paraId="3FE75E48" w14:textId="3AE82D8D" w:rsidR="00011D29" w:rsidRPr="00F6649A" w:rsidRDefault="00F57BD5" w:rsidP="0051193B">
      <w:pPr>
        <w:pStyle w:val="ListParagraph"/>
        <w:numPr>
          <w:ilvl w:val="1"/>
          <w:numId w:val="10"/>
        </w:numPr>
        <w:suppressAutoHyphens/>
        <w:ind w:left="709" w:right="-24" w:hanging="709"/>
      </w:pPr>
      <w:r w:rsidRPr="008B5A5D">
        <w:t>The</w:t>
      </w:r>
      <w:r>
        <w:t xml:space="preserve"> Best Residential Scheme was awarded </w:t>
      </w:r>
      <w:r w:rsidR="000317B7">
        <w:t>for the sympathetic extension to a 1970s bungalow in Brockenhurst</w:t>
      </w:r>
      <w:r w:rsidR="00E47DD8">
        <w:t>, whilst the Best Non-</w:t>
      </w:r>
      <w:r w:rsidR="00F869FD">
        <w:t>R</w:t>
      </w:r>
      <w:r w:rsidR="00E47DD8">
        <w:t>esidential</w:t>
      </w:r>
      <w:r w:rsidR="00F869FD">
        <w:t xml:space="preserve"> Scheme</w:t>
      </w:r>
      <w:r w:rsidR="00E47DD8">
        <w:t xml:space="preserve"> </w:t>
      </w:r>
      <w:r w:rsidR="00F869FD">
        <w:t>was awarded to Brockenhurst</w:t>
      </w:r>
      <w:r w:rsidR="00AB735F">
        <w:t xml:space="preserve"> College for a single storey modular building which </w:t>
      </w:r>
      <w:r w:rsidR="00D776CD">
        <w:t xml:space="preserve">is accessible, energy efficient and blends with the colours of the New Forest and incorporates </w:t>
      </w:r>
      <w:r w:rsidR="004A14AA">
        <w:t>sensory gardens and wildflower meadows</w:t>
      </w:r>
      <w:r w:rsidR="00AB4677">
        <w:t xml:space="preserve"> in the grounds. More details of these schemes</w:t>
      </w:r>
      <w:r w:rsidR="00E47DD8">
        <w:t xml:space="preserve"> </w:t>
      </w:r>
      <w:r w:rsidR="0051193B">
        <w:t>can be viewed on our website.</w:t>
      </w:r>
    </w:p>
    <w:p w14:paraId="2A18D982" w14:textId="77777777" w:rsidR="00011D29" w:rsidRDefault="00011D29" w:rsidP="00011D29">
      <w:pPr>
        <w:pStyle w:val="ListParagraph"/>
      </w:pPr>
    </w:p>
    <w:p w14:paraId="165D128A" w14:textId="77777777" w:rsidR="00011D29" w:rsidRPr="00B5474E" w:rsidRDefault="00011D29" w:rsidP="00011D29">
      <w:pPr>
        <w:pStyle w:val="ListParagraph"/>
        <w:suppressAutoHyphens/>
        <w:ind w:left="709" w:right="-24"/>
      </w:pPr>
    </w:p>
    <w:p w14:paraId="0B9D0876" w14:textId="77777777" w:rsidR="00011D29" w:rsidRPr="00217CA0" w:rsidRDefault="00011D29" w:rsidP="00011D29">
      <w:pPr>
        <w:pStyle w:val="Heading2"/>
        <w:spacing w:before="0"/>
        <w:ind w:firstLine="709"/>
      </w:pPr>
      <w:r w:rsidRPr="00217CA0">
        <w:t>Performance of the Built Environment policies</w:t>
      </w:r>
    </w:p>
    <w:p w14:paraId="225A3F8E" w14:textId="77777777" w:rsidR="00011D29" w:rsidRPr="00217CA0" w:rsidRDefault="00011D29" w:rsidP="00011D29">
      <w:pPr>
        <w:pStyle w:val="ListParagraph"/>
        <w:ind w:left="709"/>
      </w:pPr>
    </w:p>
    <w:p w14:paraId="7B44F643" w14:textId="241B9EBD" w:rsidR="00011D29" w:rsidRPr="00217CA0" w:rsidRDefault="00011D29" w:rsidP="00011D29">
      <w:pPr>
        <w:pStyle w:val="ListParagraph"/>
        <w:numPr>
          <w:ilvl w:val="1"/>
          <w:numId w:val="10"/>
        </w:numPr>
        <w:suppressAutoHyphens/>
        <w:ind w:left="709" w:hanging="709"/>
      </w:pPr>
      <w:r w:rsidRPr="008B5A5D">
        <w:t>The</w:t>
      </w:r>
      <w:r w:rsidRPr="00217CA0">
        <w:t xml:space="preserve"> appropriateness of the design of proposed development continues to be an area of importance for the assessment of planning applications and remains a significant reason for refusal of applications. In addition to the local planning policies the Authority’s Design Guide Supplementary Planning Document </w:t>
      </w:r>
      <w:r w:rsidR="00CA6C18">
        <w:t xml:space="preserve">(SPD) </w:t>
      </w:r>
      <w:r>
        <w:t xml:space="preserve">continues to </w:t>
      </w:r>
      <w:r w:rsidRPr="00217CA0">
        <w:t xml:space="preserve">play a key part in seeking to aid applicants and developers in achieving a level of design that is more locally specific to the New Forest and appropriate to a National Park. This is complemented by several local Village Design Statements, which have been supported at appeals by Planning Inspectors. </w:t>
      </w:r>
      <w:r w:rsidR="005C7A03">
        <w:t>The Government ha</w:t>
      </w:r>
      <w:r w:rsidR="00BA062E">
        <w:t>s</w:t>
      </w:r>
      <w:r w:rsidR="005C7A03">
        <w:t xml:space="preserve"> announced that </w:t>
      </w:r>
      <w:r w:rsidR="00CA6C18">
        <w:t xml:space="preserve">no new SPDs can be adopted after </w:t>
      </w:r>
      <w:r w:rsidR="00BA062E">
        <w:t xml:space="preserve">30 June 2026 but those that have been adopted prior to that date will remain in force until a new Local Plan </w:t>
      </w:r>
      <w:r w:rsidR="00006B13">
        <w:t xml:space="preserve">undertaken in line with the new planning system is adopted. </w:t>
      </w:r>
      <w:proofErr w:type="gramStart"/>
      <w:r w:rsidR="00006B13">
        <w:t>Consequently</w:t>
      </w:r>
      <w:proofErr w:type="gramEnd"/>
      <w:r w:rsidR="00006B13">
        <w:t xml:space="preserve"> the Authority’s Design Guide and </w:t>
      </w:r>
      <w:r w:rsidR="00612F6E">
        <w:t>adopted Village Design Guides will remain until the Authority adopt a new style Local Plan.</w:t>
      </w:r>
    </w:p>
    <w:p w14:paraId="1FA853B7" w14:textId="77777777" w:rsidR="00011D29" w:rsidRPr="00217CA0" w:rsidRDefault="00011D29" w:rsidP="00011D29"/>
    <w:p w14:paraId="17A05233" w14:textId="77777777" w:rsidR="00011D29" w:rsidRPr="00217CA0" w:rsidRDefault="00011D29" w:rsidP="00011D29">
      <w:pPr>
        <w:pStyle w:val="ListParagraph"/>
        <w:numPr>
          <w:ilvl w:val="1"/>
          <w:numId w:val="10"/>
        </w:numPr>
        <w:suppressAutoHyphens/>
        <w:ind w:left="709" w:hanging="709"/>
      </w:pPr>
      <w:r w:rsidRPr="00217CA0">
        <w:rPr>
          <w:b/>
          <w:sz w:val="28"/>
          <w:szCs w:val="28"/>
        </w:rPr>
        <w:br w:type="page"/>
      </w:r>
    </w:p>
    <w:p w14:paraId="7C7E2346" w14:textId="77777777" w:rsidR="00011D29" w:rsidRPr="00217CA0" w:rsidRDefault="00011D29" w:rsidP="00011D29">
      <w:pPr>
        <w:pStyle w:val="Heading1"/>
        <w:rPr>
          <w:szCs w:val="28"/>
        </w:rPr>
      </w:pPr>
      <w:bookmarkStart w:id="8" w:name="_Toc92364676"/>
      <w:r w:rsidRPr="00217CA0">
        <w:rPr>
          <w:szCs w:val="28"/>
        </w:rPr>
        <w:lastRenderedPageBreak/>
        <w:t>6.</w:t>
      </w:r>
      <w:r w:rsidRPr="00217CA0">
        <w:rPr>
          <w:szCs w:val="28"/>
        </w:rPr>
        <w:tab/>
      </w:r>
      <w:r w:rsidRPr="00217CA0">
        <w:rPr>
          <w:rStyle w:val="Heading1Char"/>
          <w:b/>
          <w:bCs/>
        </w:rPr>
        <w:t>Vibrant Communities</w:t>
      </w:r>
      <w:bookmarkEnd w:id="8"/>
    </w:p>
    <w:p w14:paraId="0E1C2FD7" w14:textId="77777777" w:rsidR="00011D29" w:rsidRDefault="00011D29" w:rsidP="00011D29">
      <w:pPr>
        <w:pStyle w:val="ListParagraph"/>
        <w:ind w:left="0"/>
      </w:pPr>
    </w:p>
    <w:p w14:paraId="6A6404DF" w14:textId="77777777" w:rsidR="00011D29" w:rsidRDefault="00011D29" w:rsidP="00011D29">
      <w:pPr>
        <w:shd w:val="clear" w:color="auto" w:fill="D9D9D9" w:themeFill="background1" w:themeFillShade="D9"/>
      </w:pPr>
      <w:r w:rsidRPr="001F12D1">
        <w:rPr>
          <w:b/>
          <w:bCs/>
        </w:rPr>
        <w:t xml:space="preserve">New Forest National Park Partnership Plan Objective </w:t>
      </w:r>
      <w:r>
        <w:rPr>
          <w:b/>
          <w:bCs/>
        </w:rPr>
        <w:t>4</w:t>
      </w:r>
    </w:p>
    <w:p w14:paraId="1A1BE0F1" w14:textId="77777777" w:rsidR="00011D29" w:rsidRPr="00D26FCC" w:rsidRDefault="00011D29" w:rsidP="00011D29">
      <w:pPr>
        <w:shd w:val="clear" w:color="auto" w:fill="D9D9D9" w:themeFill="background1" w:themeFillShade="D9"/>
      </w:pPr>
      <w:r w:rsidRPr="00F66D5F">
        <w:t xml:space="preserve">Thriving Forest – a living, working Forest is sustained through its rich cultural heritage, natural beauty and support for </w:t>
      </w:r>
      <w:proofErr w:type="spellStart"/>
      <w:r w:rsidRPr="00F66D5F">
        <w:t>commoning</w:t>
      </w:r>
      <w:proofErr w:type="spellEnd"/>
      <w:r w:rsidRPr="00F66D5F">
        <w:t>. There is a vibrant local produce market, access to affordable homes and a growing green economy featuring sustainable tourism and green businesses.</w:t>
      </w:r>
    </w:p>
    <w:p w14:paraId="3A912FAE" w14:textId="77777777" w:rsidR="00011D29" w:rsidRPr="00217CA0" w:rsidRDefault="00011D29" w:rsidP="00011D29">
      <w:pPr>
        <w:pStyle w:val="ListParagraph"/>
        <w:ind w:left="0"/>
      </w:pPr>
    </w:p>
    <w:p w14:paraId="6EDEED8A" w14:textId="77777777" w:rsidR="00011D29" w:rsidRPr="00217CA0" w:rsidRDefault="00011D29" w:rsidP="00011D29">
      <w:pPr>
        <w:shd w:val="clear" w:color="auto" w:fill="D9D9D9" w:themeFill="background1" w:themeFillShade="D9"/>
      </w:pPr>
      <w:r w:rsidRPr="00217CA0">
        <w:rPr>
          <w:b/>
          <w:bCs/>
        </w:rPr>
        <w:t>Local Plan Strategic Objective 4:</w:t>
      </w:r>
      <w:r w:rsidRPr="00217CA0">
        <w:t xml:space="preserve"> Policies DP10, DP34, DP35, DP36, DP37, SP38, SP39, DP40, DP41</w:t>
      </w:r>
    </w:p>
    <w:p w14:paraId="794BC456" w14:textId="77777777" w:rsidR="00011D29" w:rsidRPr="00217CA0" w:rsidRDefault="00011D29" w:rsidP="00011D29">
      <w:pPr>
        <w:shd w:val="clear" w:color="auto" w:fill="D9D9D9" w:themeFill="background1" w:themeFillShade="D9"/>
      </w:pPr>
      <w:r w:rsidRPr="00217CA0">
        <w:t>Strengthen the well-being, identity and sustainability of rural communities and the pride of local people in their area.</w:t>
      </w:r>
    </w:p>
    <w:p w14:paraId="6AB80529" w14:textId="77777777" w:rsidR="00011D29" w:rsidRPr="00217CA0" w:rsidRDefault="00011D29" w:rsidP="00011D29">
      <w:pPr>
        <w:shd w:val="clear" w:color="auto" w:fill="D9D9D9" w:themeFill="background1" w:themeFillShade="D9"/>
      </w:pPr>
    </w:p>
    <w:p w14:paraId="30AAE1B8" w14:textId="77777777" w:rsidR="00011D29" w:rsidRPr="00217CA0" w:rsidRDefault="00011D29" w:rsidP="00011D29">
      <w:pPr>
        <w:shd w:val="clear" w:color="auto" w:fill="D9D9D9" w:themeFill="background1" w:themeFillShade="D9"/>
      </w:pPr>
      <w:r w:rsidRPr="00217CA0">
        <w:rPr>
          <w:b/>
          <w:bCs/>
        </w:rPr>
        <w:t>Local Plan Strategic Objective 5:</w:t>
      </w:r>
      <w:r w:rsidRPr="00217CA0">
        <w:t xml:space="preserve"> Policies SP19 – SP30, DP31, DP32, SP33</w:t>
      </w:r>
    </w:p>
    <w:p w14:paraId="26A211EF" w14:textId="77777777" w:rsidR="00011D29" w:rsidRPr="00217CA0" w:rsidRDefault="00011D29" w:rsidP="00011D29">
      <w:pPr>
        <w:shd w:val="clear" w:color="auto" w:fill="D9D9D9" w:themeFill="background1" w:themeFillShade="D9"/>
      </w:pPr>
      <w:r w:rsidRPr="00217CA0">
        <w:t>Promote appropriate housing to meet local needs and maintain the vibrant communities of the National Park.</w:t>
      </w:r>
    </w:p>
    <w:p w14:paraId="3296B93E" w14:textId="77777777" w:rsidR="00011D29" w:rsidRPr="00217CA0" w:rsidRDefault="00011D29" w:rsidP="00011D29"/>
    <w:p w14:paraId="5B4D5AEF" w14:textId="77777777" w:rsidR="00011D29" w:rsidRPr="00217CA0" w:rsidRDefault="00011D29" w:rsidP="00011D29">
      <w:pPr>
        <w:pStyle w:val="Heading2"/>
        <w:spacing w:before="0"/>
        <w:ind w:firstLine="567"/>
      </w:pPr>
      <w:r w:rsidRPr="00217CA0">
        <w:t>Housing</w:t>
      </w:r>
    </w:p>
    <w:p w14:paraId="41A673BE" w14:textId="77777777" w:rsidR="00011D29" w:rsidRPr="00217CA0" w:rsidRDefault="00011D29" w:rsidP="00011D29"/>
    <w:p w14:paraId="29B30F99" w14:textId="54D4DD6F" w:rsidR="00011D29" w:rsidRPr="00217CA0" w:rsidRDefault="00011D29" w:rsidP="00011D29">
      <w:pPr>
        <w:numPr>
          <w:ilvl w:val="0"/>
          <w:numId w:val="27"/>
        </w:numPr>
        <w:ind w:left="567" w:right="-23" w:hanging="567"/>
      </w:pPr>
      <w:r w:rsidRPr="008B5A5D">
        <w:t>There</w:t>
      </w:r>
      <w:r w:rsidRPr="00217CA0">
        <w:t xml:space="preserve"> was a net gain of </w:t>
      </w:r>
      <w:r w:rsidR="00A224DE">
        <w:t>59</w:t>
      </w:r>
      <w:r w:rsidRPr="00217CA0">
        <w:t xml:space="preserve"> dwelling completions during the monitoring period, </w:t>
      </w:r>
      <w:r w:rsidR="00A224DE">
        <w:t>compared to 40</w:t>
      </w:r>
      <w:r w:rsidRPr="00217CA0">
        <w:t xml:space="preserve"> </w:t>
      </w:r>
      <w:r>
        <w:t>l</w:t>
      </w:r>
      <w:r w:rsidRPr="00217CA0">
        <w:t>ast year.</w:t>
      </w:r>
      <w:r w:rsidR="00D57014">
        <w:t xml:space="preserve"> </w:t>
      </w:r>
      <w:r w:rsidR="002F0BB0">
        <w:t>The construction of the housing site allocation at the former Lyndhurst Park Hotel accounted for 36 dwelling completions</w:t>
      </w:r>
      <w:r w:rsidR="006E0E1F">
        <w:t>, with</w:t>
      </w:r>
      <w:r w:rsidR="008C29A0">
        <w:t xml:space="preserve"> the remainder comprising completions</w:t>
      </w:r>
      <w:r w:rsidRPr="00217CA0">
        <w:t xml:space="preserve"> on</w:t>
      </w:r>
      <w:r w:rsidR="008C29A0">
        <w:t xml:space="preserve"> smaller</w:t>
      </w:r>
      <w:r w:rsidRPr="00217CA0">
        <w:t xml:space="preserve"> windfall sites, </w:t>
      </w:r>
      <w:r w:rsidR="002F6A08">
        <w:t>including</w:t>
      </w:r>
      <w:r w:rsidRPr="00217CA0">
        <w:t xml:space="preserve"> several arising from redevelopment of existing sites or conversion</w:t>
      </w:r>
      <w:r>
        <w:t xml:space="preserve"> or subdivision</w:t>
      </w:r>
      <w:r w:rsidRPr="00217CA0">
        <w:t xml:space="preserve"> of existing properties. </w:t>
      </w:r>
    </w:p>
    <w:p w14:paraId="556A36AC" w14:textId="77777777" w:rsidR="00011D29" w:rsidRPr="00217CA0" w:rsidRDefault="00011D29" w:rsidP="00011D29">
      <w:pPr>
        <w:ind w:left="720" w:right="-23"/>
      </w:pPr>
    </w:p>
    <w:p w14:paraId="66C0595F" w14:textId="77777777" w:rsidR="00011D29" w:rsidRPr="00217CA0" w:rsidRDefault="00011D29" w:rsidP="00011D29">
      <w:pPr>
        <w:numPr>
          <w:ilvl w:val="0"/>
          <w:numId w:val="27"/>
        </w:numPr>
        <w:ind w:left="567" w:right="-23" w:hanging="567"/>
      </w:pPr>
      <w:r w:rsidRPr="008B5A5D">
        <w:t>The</w:t>
      </w:r>
      <w:r w:rsidRPr="00217CA0">
        <w:t xml:space="preserve"> chart below illustrates completions in the National Park since 2006.</w:t>
      </w:r>
    </w:p>
    <w:p w14:paraId="7C317922" w14:textId="77777777" w:rsidR="00011D29" w:rsidRPr="00217CA0" w:rsidRDefault="00011D29" w:rsidP="00011D29">
      <w:pPr>
        <w:ind w:left="709" w:hanging="709"/>
        <w:jc w:val="both"/>
      </w:pPr>
    </w:p>
    <w:p w14:paraId="11011593" w14:textId="28C48EB6" w:rsidR="00011D29" w:rsidRPr="00B94366" w:rsidRDefault="00011D29" w:rsidP="00011D29">
      <w:pPr>
        <w:ind w:left="709" w:hanging="283"/>
        <w:jc w:val="both"/>
        <w:rPr>
          <w:b/>
          <w:iCs/>
          <w:sz w:val="22"/>
        </w:rPr>
      </w:pPr>
      <w:r w:rsidRPr="008B5A5D">
        <w:rPr>
          <w:b/>
          <w:iCs/>
          <w:sz w:val="22"/>
        </w:rPr>
        <w:t>Figure</w:t>
      </w:r>
      <w:r w:rsidRPr="00B94366">
        <w:rPr>
          <w:b/>
          <w:iCs/>
          <w:sz w:val="22"/>
        </w:rPr>
        <w:t xml:space="preserve"> 5: New Forest National Park Housing Completions 202</w:t>
      </w:r>
      <w:r w:rsidR="007B0969">
        <w:rPr>
          <w:b/>
          <w:iCs/>
          <w:sz w:val="22"/>
        </w:rPr>
        <w:t>4</w:t>
      </w:r>
      <w:r w:rsidRPr="00B94366">
        <w:rPr>
          <w:b/>
          <w:iCs/>
          <w:sz w:val="22"/>
        </w:rPr>
        <w:t xml:space="preserve"> / 2</w:t>
      </w:r>
      <w:r w:rsidR="007B0969">
        <w:rPr>
          <w:b/>
          <w:iCs/>
          <w:sz w:val="22"/>
        </w:rPr>
        <w:t>5</w:t>
      </w:r>
    </w:p>
    <w:p w14:paraId="71A56491" w14:textId="1282DFE9" w:rsidR="00011D29" w:rsidRPr="00217CA0" w:rsidRDefault="007B0969" w:rsidP="00011D29">
      <w:pPr>
        <w:ind w:left="709" w:hanging="283"/>
        <w:jc w:val="both"/>
        <w:rPr>
          <w:noProof/>
          <w:lang w:eastAsia="en-GB"/>
        </w:rPr>
      </w:pPr>
      <w:r>
        <w:rPr>
          <w:noProof/>
          <w14:ligatures w14:val="standardContextual"/>
        </w:rPr>
        <w:drawing>
          <wp:inline distT="0" distB="0" distL="0" distR="0" wp14:anchorId="41D4A2C5" wp14:editId="6985887E">
            <wp:extent cx="5655945" cy="2583180"/>
            <wp:effectExtent l="0" t="0" r="1905" b="7620"/>
            <wp:docPr id="875948437" name="Chart 1">
              <a:extLst xmlns:a="http://schemas.openxmlformats.org/drawingml/2006/main">
                <a:ext uri="{FF2B5EF4-FFF2-40B4-BE49-F238E27FC236}">
                  <a16:creationId xmlns:a16="http://schemas.microsoft.com/office/drawing/2014/main" id="{59A50993-753F-4BC5-B825-5B494258A6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100968" w14:textId="4C6F6E3E" w:rsidR="00011D29" w:rsidRPr="007B0969" w:rsidRDefault="007B0969" w:rsidP="007B0969">
      <w:pPr>
        <w:ind w:left="709" w:hanging="283"/>
        <w:jc w:val="both"/>
        <w:rPr>
          <w:noProof/>
          <w:sz w:val="18"/>
          <w:szCs w:val="16"/>
          <w:lang w:eastAsia="en-GB"/>
        </w:rPr>
      </w:pPr>
      <w:r>
        <w:rPr>
          <w:noProof/>
          <w:sz w:val="18"/>
          <w:szCs w:val="16"/>
          <w:lang w:eastAsia="en-GB"/>
        </w:rPr>
        <w:t>Source: NFNPA</w:t>
      </w:r>
    </w:p>
    <w:p w14:paraId="6666BD3C" w14:textId="77777777" w:rsidR="007B0969" w:rsidRPr="00217CA0" w:rsidRDefault="007B0969" w:rsidP="00011D29">
      <w:pPr>
        <w:ind w:left="709" w:hanging="709"/>
        <w:jc w:val="both"/>
        <w:rPr>
          <w:noProof/>
          <w:lang w:eastAsia="en-GB"/>
        </w:rPr>
      </w:pPr>
    </w:p>
    <w:p w14:paraId="0F45C901" w14:textId="34DDFC90" w:rsidR="00011D29" w:rsidRPr="002C185B" w:rsidRDefault="00011D29" w:rsidP="00011D29">
      <w:pPr>
        <w:pStyle w:val="ListParagraph"/>
        <w:numPr>
          <w:ilvl w:val="1"/>
          <w:numId w:val="12"/>
        </w:numPr>
        <w:spacing w:before="20"/>
        <w:ind w:left="567" w:right="-23" w:hanging="567"/>
        <w:rPr>
          <w:i/>
        </w:rPr>
      </w:pPr>
      <w:r w:rsidRPr="002C185B">
        <w:t xml:space="preserve">It </w:t>
      </w:r>
      <w:r w:rsidRPr="008B5A5D">
        <w:t>should</w:t>
      </w:r>
      <w:r w:rsidRPr="002C185B">
        <w:t xml:space="preserve"> be noted that housing completions from 1 April 2016 </w:t>
      </w:r>
      <w:r w:rsidR="005D7913" w:rsidRPr="002C185B">
        <w:t>up to 2024</w:t>
      </w:r>
      <w:r w:rsidRPr="002C185B">
        <w:t xml:space="preserve"> contribute</w:t>
      </w:r>
      <w:r w:rsidR="005D7913" w:rsidRPr="002C185B">
        <w:t>d</w:t>
      </w:r>
      <w:r w:rsidRPr="002C185B">
        <w:t xml:space="preserve"> to the housing requirement of the adopted Local Plan</w:t>
      </w:r>
      <w:r w:rsidR="005D7913" w:rsidRPr="002C185B">
        <w:t xml:space="preserve">. </w:t>
      </w:r>
      <w:r w:rsidRPr="002C185B">
        <w:t xml:space="preserve">This has totalled 213 dwellings, giving an average of 27 dwelling completions per year, and demonstrating that the Local Plan windfall allowance of 20 net new </w:t>
      </w:r>
      <w:r w:rsidRPr="002C185B">
        <w:lastRenderedPageBreak/>
        <w:t>dwellings per year is realistic.</w:t>
      </w:r>
      <w:r w:rsidR="000133C5" w:rsidRPr="000133C5">
        <w:t xml:space="preserve"> </w:t>
      </w:r>
      <w:r w:rsidR="000133C5">
        <w:t>As t</w:t>
      </w:r>
      <w:r w:rsidR="000133C5" w:rsidRPr="00217CA0">
        <w:t xml:space="preserve">he housing allocations in the </w:t>
      </w:r>
      <w:r w:rsidR="000133C5">
        <w:t xml:space="preserve">adopted </w:t>
      </w:r>
      <w:r w:rsidR="000133C5" w:rsidRPr="00217CA0">
        <w:t xml:space="preserve">Local Plan </w:t>
      </w:r>
      <w:r w:rsidR="006166E2">
        <w:t xml:space="preserve">have </w:t>
      </w:r>
      <w:r w:rsidR="000133C5" w:rsidRPr="00217CA0">
        <w:t>com</w:t>
      </w:r>
      <w:r w:rsidR="006166E2">
        <w:t>e</w:t>
      </w:r>
      <w:r w:rsidR="000133C5" w:rsidRPr="00217CA0">
        <w:t xml:space="preserve"> forward later into the Plan period</w:t>
      </w:r>
      <w:r w:rsidR="007A436E">
        <w:t>,</w:t>
      </w:r>
      <w:r w:rsidR="00D13C1B">
        <w:t xml:space="preserve"> and are largely still under construction</w:t>
      </w:r>
      <w:r w:rsidR="00E1634F">
        <w:t>,</w:t>
      </w:r>
      <w:r w:rsidR="00B64653">
        <w:t xml:space="preserve"> these policies are carried forward</w:t>
      </w:r>
      <w:r w:rsidR="00D13C1B">
        <w:t xml:space="preserve"> into the emerging Local Plan Review</w:t>
      </w:r>
      <w:r w:rsidR="00685517">
        <w:t>.</w:t>
      </w:r>
      <w:r w:rsidR="000133C5" w:rsidRPr="00217CA0">
        <w:t xml:space="preserve"> </w:t>
      </w:r>
      <w:r w:rsidR="00E12F9B">
        <w:t>D</w:t>
      </w:r>
      <w:r w:rsidR="000133C5" w:rsidRPr="00217CA0">
        <w:t xml:space="preserve">wellings completed </w:t>
      </w:r>
      <w:r w:rsidR="00685517">
        <w:t>on the housing site allocations will be counted towards the housing requirement set out in the emerging Local Plan Review</w:t>
      </w:r>
      <w:r w:rsidR="000133C5" w:rsidRPr="00217CA0">
        <w:t>.</w:t>
      </w:r>
    </w:p>
    <w:p w14:paraId="033CE656" w14:textId="77777777" w:rsidR="00011D29" w:rsidRPr="00C37933" w:rsidRDefault="00011D29" w:rsidP="00011D29">
      <w:pPr>
        <w:pStyle w:val="ListParagraph"/>
        <w:spacing w:before="20"/>
        <w:ind w:left="567" w:right="-23" w:hanging="567"/>
        <w:rPr>
          <w:i/>
        </w:rPr>
      </w:pPr>
    </w:p>
    <w:p w14:paraId="525D22D8" w14:textId="5393B826" w:rsidR="00011D29" w:rsidRPr="00217CA0" w:rsidRDefault="00011D29" w:rsidP="00011D29">
      <w:pPr>
        <w:pStyle w:val="ListParagraph"/>
        <w:numPr>
          <w:ilvl w:val="1"/>
          <w:numId w:val="12"/>
        </w:numPr>
        <w:ind w:left="567" w:right="-23" w:hanging="567"/>
      </w:pPr>
      <w:r w:rsidRPr="008B5A5D">
        <w:t>Figure</w:t>
      </w:r>
      <w:r w:rsidRPr="00217CA0">
        <w:t xml:space="preserve"> 5 overleaf shows the natural fluctuations in annual dwelling completions within the National Park</w:t>
      </w:r>
      <w:r w:rsidR="00915B98">
        <w:t xml:space="preserve"> since 2006</w:t>
      </w:r>
      <w:r w:rsidRPr="00217CA0">
        <w:t xml:space="preserve">, which is not surprising, given the nature of windfall residential development within the main villages. </w:t>
      </w:r>
    </w:p>
    <w:p w14:paraId="5A0E9BC0" w14:textId="77777777" w:rsidR="00011D29" w:rsidRPr="00217CA0" w:rsidRDefault="00011D29" w:rsidP="00011D29">
      <w:pPr>
        <w:pStyle w:val="ListParagraph"/>
        <w:ind w:left="567" w:right="-23" w:hanging="567"/>
      </w:pPr>
    </w:p>
    <w:p w14:paraId="7D79F913" w14:textId="4EE3CFBE" w:rsidR="00011D29" w:rsidRDefault="00011D29" w:rsidP="00011D29">
      <w:pPr>
        <w:pStyle w:val="ListParagraph"/>
        <w:numPr>
          <w:ilvl w:val="1"/>
          <w:numId w:val="12"/>
        </w:numPr>
        <w:ind w:left="567" w:right="-23" w:hanging="567"/>
      </w:pPr>
      <w:r w:rsidRPr="008B5A5D">
        <w:t>Of</w:t>
      </w:r>
      <w:r w:rsidRPr="00217CA0">
        <w:t xml:space="preserve"> the adopted Local Plan housing site allocations</w:t>
      </w:r>
      <w:r>
        <w:t xml:space="preserve">, </w:t>
      </w:r>
      <w:r w:rsidR="005B5731">
        <w:t xml:space="preserve">construction is now under way on </w:t>
      </w:r>
      <w:r w:rsidRPr="00217CA0">
        <w:t>the former Lyndhurst Park Hotel</w:t>
      </w:r>
      <w:r>
        <w:t xml:space="preserve"> (</w:t>
      </w:r>
      <w:r w:rsidR="005B5731">
        <w:t xml:space="preserve">permission for </w:t>
      </w:r>
      <w:r>
        <w:t>79 new dwellings)</w:t>
      </w:r>
      <w:r w:rsidRPr="00217CA0">
        <w:t>, land south of Church Lane in Sway</w:t>
      </w:r>
      <w:r>
        <w:t xml:space="preserve"> (</w:t>
      </w:r>
      <w:r w:rsidR="005B5731">
        <w:t xml:space="preserve">permission for </w:t>
      </w:r>
      <w:r>
        <w:t xml:space="preserve">46 new dwellings), </w:t>
      </w:r>
      <w:r w:rsidR="005B5731">
        <w:t>land</w:t>
      </w:r>
      <w:r w:rsidRPr="00217CA0">
        <w:t xml:space="preserve"> at Whartons Lane, Ashurst</w:t>
      </w:r>
      <w:r>
        <w:t xml:space="preserve"> (</w:t>
      </w:r>
      <w:r w:rsidR="005B5731">
        <w:t xml:space="preserve">permission for </w:t>
      </w:r>
      <w:r>
        <w:t>62 new dwellings)</w:t>
      </w:r>
      <w:r w:rsidR="00701256">
        <w:t xml:space="preserve">. </w:t>
      </w:r>
      <w:r>
        <w:t>L</w:t>
      </w:r>
      <w:r w:rsidRPr="00217CA0">
        <w:t xml:space="preserve">and at Ashurst Hospital </w:t>
      </w:r>
      <w:r>
        <w:t>has a</w:t>
      </w:r>
      <w:r w:rsidRPr="00217CA0">
        <w:t xml:space="preserve"> Planning Committee resolution to grant permission, subject to the finalisation of a legal agreement.  </w:t>
      </w:r>
    </w:p>
    <w:p w14:paraId="1267260D" w14:textId="77777777" w:rsidR="003A3AF8" w:rsidRDefault="003A3AF8" w:rsidP="003A3AF8">
      <w:pPr>
        <w:pStyle w:val="ListParagraph"/>
      </w:pPr>
    </w:p>
    <w:p w14:paraId="5869EBF0" w14:textId="77777777" w:rsidR="001B1078" w:rsidRDefault="004B26E7" w:rsidP="00011D29">
      <w:pPr>
        <w:pStyle w:val="ListParagraph"/>
        <w:numPr>
          <w:ilvl w:val="1"/>
          <w:numId w:val="12"/>
        </w:numPr>
        <w:ind w:left="567" w:right="-23" w:hanging="567"/>
      </w:pPr>
      <w:r>
        <w:t xml:space="preserve">Policy SP26 of the adopted Local Plan allocates land </w:t>
      </w:r>
      <w:r w:rsidR="00307ECB">
        <w:t>adjacent to the former Fawley Power Station for</w:t>
      </w:r>
      <w:r w:rsidR="005E0632">
        <w:t xml:space="preserve"> around 120 dwellings. However, this was </w:t>
      </w:r>
      <w:r w:rsidR="007F6E9D">
        <w:t>only identified as part of a comprehensive and integrated approach to the regeneration of the wider Fawley Power Station site</w:t>
      </w:r>
      <w:r w:rsidR="00784C79">
        <w:t xml:space="preserve"> (falling with the New Forest District area).</w:t>
      </w:r>
      <w:r w:rsidR="00ED18D0">
        <w:t xml:space="preserve"> </w:t>
      </w:r>
      <w:r w:rsidR="00382F6E">
        <w:t>P</w:t>
      </w:r>
      <w:r w:rsidR="00ED18D0">
        <w:t>lanning application</w:t>
      </w:r>
      <w:r w:rsidR="00382F6E">
        <w:t>s</w:t>
      </w:r>
      <w:r w:rsidR="00ED18D0">
        <w:t xml:space="preserve"> for the redevelopment of both the site </w:t>
      </w:r>
      <w:r w:rsidR="00382F6E">
        <w:t xml:space="preserve">in the National Park and within the wider District area were withdrawn, and </w:t>
      </w:r>
      <w:r w:rsidR="00F8473C">
        <w:t>the schemes for residential development are no longer being pursued</w:t>
      </w:r>
      <w:r w:rsidR="001B1185">
        <w:t xml:space="preserve">. Therefore, it is proposed to delete this allocation in the emerging </w:t>
      </w:r>
      <w:r w:rsidR="00E12F9B">
        <w:t>review of the Local Plan for the National Park.</w:t>
      </w:r>
    </w:p>
    <w:p w14:paraId="728D2862" w14:textId="77777777" w:rsidR="001B1078" w:rsidRDefault="001B1078" w:rsidP="001B1078">
      <w:pPr>
        <w:pStyle w:val="ListParagraph"/>
      </w:pPr>
    </w:p>
    <w:p w14:paraId="2B08F9E2" w14:textId="235FB278" w:rsidR="003A3AF8" w:rsidRPr="00217CA0" w:rsidRDefault="001B1078" w:rsidP="00011D29">
      <w:pPr>
        <w:pStyle w:val="ListParagraph"/>
        <w:numPr>
          <w:ilvl w:val="1"/>
          <w:numId w:val="12"/>
        </w:numPr>
        <w:ind w:left="567" w:right="-23" w:hanging="567"/>
      </w:pPr>
      <w:r>
        <w:t xml:space="preserve">In addition, </w:t>
      </w:r>
      <w:r w:rsidR="00205733">
        <w:t>permission was granted</w:t>
      </w:r>
      <w:r>
        <w:t xml:space="preserve"> for </w:t>
      </w:r>
      <w:r w:rsidR="00205733">
        <w:t>a c</w:t>
      </w:r>
      <w:r w:rsidR="00205733" w:rsidRPr="00205733">
        <w:t xml:space="preserve">hange of use of </w:t>
      </w:r>
      <w:r w:rsidR="00205733">
        <w:t>an existing gypsy</w:t>
      </w:r>
      <w:r w:rsidR="00205733" w:rsidRPr="00205733">
        <w:t xml:space="preserve"> site</w:t>
      </w:r>
      <w:r w:rsidR="008F6BD2">
        <w:t xml:space="preserve"> in Landford </w:t>
      </w:r>
      <w:r w:rsidR="00205733" w:rsidRPr="00205733">
        <w:t>for two permanent gypsy and/or traveller's pitches</w:t>
      </w:r>
      <w:r w:rsidR="008F6BD2">
        <w:t>. This was a renewal of an earlier planning permi</w:t>
      </w:r>
      <w:r w:rsidR="00EF5797">
        <w:t>ssi</w:t>
      </w:r>
      <w:r w:rsidR="008F6BD2">
        <w:t>on that had lapsed</w:t>
      </w:r>
      <w:r w:rsidR="00EF5797">
        <w:t>.</w:t>
      </w:r>
      <w:r w:rsidR="00205733" w:rsidRPr="00205733">
        <w:t xml:space="preserve"> </w:t>
      </w:r>
      <w:r w:rsidR="00F8473C">
        <w:t xml:space="preserve"> </w:t>
      </w:r>
    </w:p>
    <w:p w14:paraId="4B55566C" w14:textId="77777777" w:rsidR="00011D29" w:rsidRPr="00217CA0" w:rsidRDefault="00011D29" w:rsidP="00011D29">
      <w:pPr>
        <w:ind w:right="-23"/>
        <w:rPr>
          <w:i/>
        </w:rPr>
      </w:pPr>
    </w:p>
    <w:p w14:paraId="23E14547" w14:textId="77777777" w:rsidR="00011D29" w:rsidRPr="00217CA0" w:rsidRDefault="00011D29" w:rsidP="00011D29">
      <w:pPr>
        <w:pStyle w:val="Heading4"/>
        <w:spacing w:before="0"/>
      </w:pPr>
      <w:proofErr w:type="gramStart"/>
      <w:r w:rsidRPr="00217CA0">
        <w:t>Five year</w:t>
      </w:r>
      <w:proofErr w:type="gramEnd"/>
      <w:r w:rsidRPr="00217CA0">
        <w:t xml:space="preserve"> housing supply</w:t>
      </w:r>
    </w:p>
    <w:p w14:paraId="142B78AE" w14:textId="77777777" w:rsidR="00011D29" w:rsidRPr="00217CA0" w:rsidRDefault="00011D29" w:rsidP="00011D29">
      <w:pPr>
        <w:rPr>
          <w:szCs w:val="32"/>
        </w:rPr>
      </w:pPr>
    </w:p>
    <w:p w14:paraId="7AE82497" w14:textId="77777777" w:rsidR="008673CF" w:rsidRDefault="00011D29" w:rsidP="00011D29">
      <w:pPr>
        <w:pStyle w:val="ListParagraph"/>
        <w:numPr>
          <w:ilvl w:val="1"/>
          <w:numId w:val="12"/>
        </w:numPr>
        <w:ind w:left="567" w:right="-23" w:hanging="567"/>
      </w:pPr>
      <w:r w:rsidRPr="00B94366">
        <w:t>The</w:t>
      </w:r>
      <w:r>
        <w:t xml:space="preserve"> latest version of the</w:t>
      </w:r>
      <w:r w:rsidRPr="00217CA0">
        <w:t xml:space="preserve"> NPPF</w:t>
      </w:r>
      <w:r>
        <w:t>, published in December 2024,</w:t>
      </w:r>
      <w:r w:rsidRPr="00217CA0">
        <w:t xml:space="preserve"> </w:t>
      </w:r>
      <w:r>
        <w:t xml:space="preserve">requires </w:t>
      </w:r>
      <w:r w:rsidRPr="00217CA0">
        <w:t>Local Planning Authorities to demonstrate a stock of five years’ worth of housing supply, with an additional ‘buffer’ o</w:t>
      </w:r>
      <w:r>
        <w:t xml:space="preserve">f 5%. </w:t>
      </w:r>
      <w:r w:rsidRPr="0099080C">
        <w:t>Appendix</w:t>
      </w:r>
      <w:r w:rsidRPr="00217CA0">
        <w:t xml:space="preserve"> 2 of this report sets out the details of the Local Plan housing requirement</w:t>
      </w:r>
      <w:r w:rsidR="003E1EAC">
        <w:t xml:space="preserve"> which is based on a Housing Needs Assessment undertaken to inform the emerging review of the Authority’s Local Plan</w:t>
      </w:r>
      <w:r w:rsidR="001A763E">
        <w:t>. It</w:t>
      </w:r>
      <w:r w:rsidR="00FE340C">
        <w:t xml:space="preserve"> identifies that th</w:t>
      </w:r>
      <w:r w:rsidRPr="00217CA0">
        <w:t xml:space="preserve">e Authority currently has </w:t>
      </w:r>
      <w:r w:rsidR="008C6C0C">
        <w:t xml:space="preserve">a </w:t>
      </w:r>
      <w:proofErr w:type="gramStart"/>
      <w:r w:rsidR="008C6C0C">
        <w:t>one y</w:t>
      </w:r>
      <w:r w:rsidRPr="00217CA0">
        <w:t>ear</w:t>
      </w:r>
      <w:proofErr w:type="gramEnd"/>
      <w:r w:rsidRPr="00217CA0">
        <w:t xml:space="preserve"> housing land supply</w:t>
      </w:r>
      <w:r w:rsidR="00653D93">
        <w:t>. This is due to the high l</w:t>
      </w:r>
      <w:r w:rsidR="00F02AD2">
        <w:t>eve</w:t>
      </w:r>
      <w:r w:rsidR="00653D93">
        <w:t>l</w:t>
      </w:r>
      <w:r w:rsidR="00F02AD2">
        <w:t xml:space="preserve"> of housing need </w:t>
      </w:r>
      <w:r w:rsidR="00653D93">
        <w:t>identified for the National Park based pu</w:t>
      </w:r>
      <w:r w:rsidR="0071358D">
        <w:t xml:space="preserve">rely on the Government’s standard methodology. This does not </w:t>
      </w:r>
      <w:proofErr w:type="gramStart"/>
      <w:r w:rsidR="0071358D">
        <w:t>take into account</w:t>
      </w:r>
      <w:proofErr w:type="gramEnd"/>
      <w:r w:rsidR="0071358D">
        <w:t xml:space="preserve"> the capacity </w:t>
      </w:r>
      <w:r w:rsidR="003E680B">
        <w:t>or appropriateness of the delivery of this need within a p</w:t>
      </w:r>
      <w:r w:rsidR="0006340E">
        <w:t xml:space="preserve">rotected landscape </w:t>
      </w:r>
      <w:r w:rsidR="006D59FD">
        <w:t>where 56% is designated of international value</w:t>
      </w:r>
      <w:r w:rsidR="00543B46">
        <w:t xml:space="preserve"> for nature conservation.</w:t>
      </w:r>
      <w:r w:rsidR="0006340E">
        <w:t xml:space="preserve"> </w:t>
      </w:r>
    </w:p>
    <w:p w14:paraId="7CFE91F4" w14:textId="77777777" w:rsidR="008673CF" w:rsidRDefault="008673CF" w:rsidP="008673CF">
      <w:pPr>
        <w:pStyle w:val="ListParagraph"/>
        <w:ind w:left="567" w:right="-23"/>
      </w:pPr>
    </w:p>
    <w:p w14:paraId="62C1746A" w14:textId="4D32312E" w:rsidR="00011D29" w:rsidRPr="00217CA0" w:rsidRDefault="007021C3" w:rsidP="00011D29">
      <w:pPr>
        <w:pStyle w:val="ListParagraph"/>
        <w:numPr>
          <w:ilvl w:val="1"/>
          <w:numId w:val="12"/>
        </w:numPr>
        <w:ind w:left="567" w:right="-23" w:hanging="567"/>
      </w:pPr>
      <w:r>
        <w:t xml:space="preserve">The emerging review of the Local Plan </w:t>
      </w:r>
      <w:r w:rsidR="00264E01">
        <w:t>plans for a lower</w:t>
      </w:r>
      <w:r w:rsidR="008673CF">
        <w:t>,</w:t>
      </w:r>
      <w:r w:rsidR="00264E01">
        <w:t xml:space="preserve"> more appropriate housing figure based on the</w:t>
      </w:r>
      <w:r w:rsidR="006A5EBC">
        <w:t xml:space="preserve"> individual circumstances of the National Park. </w:t>
      </w:r>
      <w:r w:rsidR="00011D29" w:rsidRPr="00217CA0">
        <w:t xml:space="preserve">It should also be noted that the Authority is not covered by the Government’s ‘Housing Delivery Test’ and national planning policy continues to recognise that National Parks are areas where development should be restricted. </w:t>
      </w:r>
    </w:p>
    <w:p w14:paraId="329BF21B" w14:textId="77777777" w:rsidR="00011D29" w:rsidRPr="00217CA0" w:rsidRDefault="00011D29" w:rsidP="00011D29">
      <w:pPr>
        <w:pStyle w:val="ListParagraph"/>
        <w:ind w:left="567" w:right="-23" w:hanging="567"/>
        <w:rPr>
          <w:szCs w:val="32"/>
        </w:rPr>
      </w:pPr>
    </w:p>
    <w:p w14:paraId="23A3C95B" w14:textId="1EAA0E15" w:rsidR="00011D29" w:rsidRPr="00217CA0" w:rsidRDefault="00011D29" w:rsidP="00011D29">
      <w:pPr>
        <w:pStyle w:val="ListParagraph"/>
        <w:numPr>
          <w:ilvl w:val="1"/>
          <w:numId w:val="12"/>
        </w:numPr>
        <w:ind w:left="567" w:right="-23" w:hanging="567"/>
      </w:pPr>
      <w:r w:rsidRPr="00B94366">
        <w:lastRenderedPageBreak/>
        <w:t>The</w:t>
      </w:r>
      <w:r w:rsidRPr="00217CA0">
        <w:t xml:space="preserve"> </w:t>
      </w:r>
      <w:r w:rsidRPr="0099080C">
        <w:t>Authority</w:t>
      </w:r>
      <w:r w:rsidRPr="00217CA0">
        <w:t xml:space="preserve"> currently has a stock of outstanding planning permissions for </w:t>
      </w:r>
      <w:r>
        <w:t>2</w:t>
      </w:r>
      <w:r w:rsidR="00464BCE">
        <w:t>22</w:t>
      </w:r>
      <w:r w:rsidRPr="00217CA0">
        <w:t xml:space="preserve"> net new dwellings, with </w:t>
      </w:r>
      <w:r w:rsidR="00920879">
        <w:t>95 dwellings</w:t>
      </w:r>
      <w:r w:rsidRPr="00217CA0">
        <w:t xml:space="preserve"> under construction</w:t>
      </w:r>
      <w:r w:rsidR="00D11AF5">
        <w:t xml:space="preserve">, which mostly comprise the housing site allocations at the former </w:t>
      </w:r>
      <w:r w:rsidR="00766C96">
        <w:t>Lyndhurst</w:t>
      </w:r>
      <w:r w:rsidR="00D11AF5">
        <w:t xml:space="preserve"> Park Hotel, </w:t>
      </w:r>
      <w:r w:rsidR="00766C96">
        <w:t xml:space="preserve">and land at </w:t>
      </w:r>
      <w:r w:rsidR="00D11AF5">
        <w:t>Church Lane in Sway</w:t>
      </w:r>
      <w:r w:rsidR="00766C96">
        <w:t xml:space="preserve"> and Wharton’s Lane in Ashurst</w:t>
      </w:r>
      <w:r w:rsidRPr="00217CA0">
        <w:t>.</w:t>
      </w:r>
    </w:p>
    <w:p w14:paraId="2A30A224" w14:textId="77777777" w:rsidR="008B5A5D" w:rsidRDefault="008B5A5D" w:rsidP="00011D29">
      <w:pPr>
        <w:pStyle w:val="Heading4"/>
        <w:spacing w:before="0"/>
      </w:pPr>
    </w:p>
    <w:p w14:paraId="3D7F6565" w14:textId="65488559" w:rsidR="00011D29" w:rsidRPr="00217CA0" w:rsidRDefault="00011D29" w:rsidP="00011D29">
      <w:pPr>
        <w:pStyle w:val="Heading4"/>
        <w:spacing w:before="0"/>
      </w:pPr>
      <w:r w:rsidRPr="00217CA0">
        <w:t xml:space="preserve">Location of new housing </w:t>
      </w:r>
    </w:p>
    <w:p w14:paraId="5B61A8CF" w14:textId="77777777" w:rsidR="00011D29" w:rsidRPr="00217CA0" w:rsidRDefault="00011D29" w:rsidP="00011D29">
      <w:pPr>
        <w:pStyle w:val="ListParagraph"/>
      </w:pPr>
    </w:p>
    <w:p w14:paraId="4C95F43A" w14:textId="202899A3" w:rsidR="00011D29" w:rsidRDefault="00011D29" w:rsidP="00011D29">
      <w:pPr>
        <w:pStyle w:val="ListParagraph"/>
        <w:numPr>
          <w:ilvl w:val="1"/>
          <w:numId w:val="12"/>
        </w:numPr>
        <w:ind w:left="567" w:right="-24" w:hanging="567"/>
      </w:pPr>
      <w:r w:rsidRPr="008B5A5D">
        <w:t>During</w:t>
      </w:r>
      <w:r>
        <w:t xml:space="preserve"> this monitoring period</w:t>
      </w:r>
      <w:r w:rsidRPr="00217CA0">
        <w:t xml:space="preserve"> </w:t>
      </w:r>
      <w:r w:rsidR="00B77CA5">
        <w:t>30</w:t>
      </w:r>
      <w:r w:rsidRPr="00217CA0">
        <w:t xml:space="preserve">% of new dwelling completions </w:t>
      </w:r>
      <w:r w:rsidR="006E434E" w:rsidRPr="00217CA0">
        <w:t xml:space="preserve">were </w:t>
      </w:r>
      <w:r w:rsidR="006E434E">
        <w:t>in</w:t>
      </w:r>
      <w:r w:rsidRPr="00217CA0">
        <w:t xml:space="preserve"> one of the four defined villages, compared to </w:t>
      </w:r>
      <w:r w:rsidR="00B77CA5">
        <w:t>1</w:t>
      </w:r>
      <w:r w:rsidRPr="00217CA0">
        <w:t xml:space="preserve">7% last year. Completions in the defined villages </w:t>
      </w:r>
      <w:r>
        <w:t>primarily comprised single new dwellings or subdivision of existing dwellings</w:t>
      </w:r>
      <w:r w:rsidRPr="00217CA0">
        <w:t>.</w:t>
      </w:r>
    </w:p>
    <w:p w14:paraId="3659CA34" w14:textId="77777777" w:rsidR="00EB7F45" w:rsidRDefault="00EB7F45" w:rsidP="00EB7F45">
      <w:pPr>
        <w:pStyle w:val="ListParagraph"/>
        <w:ind w:left="567" w:right="-24"/>
      </w:pPr>
    </w:p>
    <w:p w14:paraId="6760E688" w14:textId="44200FD1" w:rsidR="00EB7F45" w:rsidRPr="00217CA0" w:rsidRDefault="003F5E4C" w:rsidP="00011D29">
      <w:pPr>
        <w:pStyle w:val="ListParagraph"/>
        <w:numPr>
          <w:ilvl w:val="1"/>
          <w:numId w:val="12"/>
        </w:numPr>
        <w:ind w:left="567" w:right="-24" w:hanging="567"/>
      </w:pPr>
      <w:r w:rsidRPr="008B5A5D">
        <w:t>There</w:t>
      </w:r>
      <w:r>
        <w:t xml:space="preserve"> was one </w:t>
      </w:r>
      <w:proofErr w:type="gramStart"/>
      <w:r>
        <w:t>commoners</w:t>
      </w:r>
      <w:proofErr w:type="gramEnd"/>
      <w:r>
        <w:t xml:space="preserve"> dwelling </w:t>
      </w:r>
      <w:r w:rsidR="0018096E">
        <w:t xml:space="preserve">completed in Woodgreen, but the remaining 68% of completions comprised dwellings on the </w:t>
      </w:r>
      <w:r w:rsidR="00C33D7F">
        <w:t xml:space="preserve">Local Plan site allocation </w:t>
      </w:r>
      <w:r w:rsidR="00486969">
        <w:t>at</w:t>
      </w:r>
      <w:r w:rsidR="00C33D7F">
        <w:t xml:space="preserve"> the former Lyndhurst Park Hotel. This site lies adjacent to the defined village of </w:t>
      </w:r>
      <w:proofErr w:type="gramStart"/>
      <w:r w:rsidR="00C33D7F">
        <w:t>Lyndhurst, and</w:t>
      </w:r>
      <w:proofErr w:type="gramEnd"/>
      <w:r w:rsidR="00C33D7F">
        <w:t xml:space="preserve"> will in due course be brought within the defined village boundary once </w:t>
      </w:r>
      <w:r w:rsidR="005A15B6">
        <w:t>all the dwellings on site are completed.</w:t>
      </w:r>
    </w:p>
    <w:p w14:paraId="2FC7258B" w14:textId="77777777" w:rsidR="00011D29" w:rsidRPr="00217CA0" w:rsidRDefault="00011D29" w:rsidP="00011D29">
      <w:pPr>
        <w:ind w:right="-306"/>
      </w:pPr>
    </w:p>
    <w:p w14:paraId="05F8227C" w14:textId="77777777" w:rsidR="00011D29" w:rsidRPr="00217CA0" w:rsidRDefault="00011D29" w:rsidP="00011D29">
      <w:pPr>
        <w:pStyle w:val="ListParagraph"/>
        <w:numPr>
          <w:ilvl w:val="1"/>
          <w:numId w:val="12"/>
        </w:numPr>
        <w:ind w:left="567" w:right="-24" w:hanging="567"/>
      </w:pPr>
      <w:r w:rsidRPr="008B5A5D">
        <w:t>Policy</w:t>
      </w:r>
      <w:r w:rsidRPr="00217CA0">
        <w:t xml:space="preserve"> SP5 of the Local Plan requires new development to comply with the Habitats Regulations to avoid or fully mitigate any potential adverse effects on the ecological integrity of the National Park’s internationally designated nature conservation sites.  The Authority has established a Mitigation Scheme (2020) into which developers can make a financial contribution to help mitigate the recreational impacts of new development on the designated sites. However, avoidance or mitigation may not be possible in all cases, for instance if a larger number of windfall dwellings come forward within 400m of the New Forest SAC and SPA. Consequently, monitoring this policy requires an assessment of the numbers of dwellings permitted within 400m of those designated sites. The Local Plan examination process established the principle that some new development will continue to take place within </w:t>
      </w:r>
      <w:proofErr w:type="gramStart"/>
      <w:r w:rsidRPr="00217CA0">
        <w:t>close proximity</w:t>
      </w:r>
      <w:proofErr w:type="gramEnd"/>
      <w:r w:rsidRPr="00217CA0">
        <w:t xml:space="preserve"> to the internationally designated sites of the New Forest, and that this scale of development should be monitored. </w:t>
      </w:r>
    </w:p>
    <w:p w14:paraId="1B4FB27C" w14:textId="77777777" w:rsidR="00011D29" w:rsidRPr="00217CA0" w:rsidRDefault="00011D29" w:rsidP="00011D29">
      <w:pPr>
        <w:pStyle w:val="ListParagraph"/>
        <w:ind w:left="567" w:right="-24" w:hanging="567"/>
      </w:pPr>
    </w:p>
    <w:p w14:paraId="5B7F04CE" w14:textId="7600E2FF" w:rsidR="00011D29" w:rsidRDefault="00011D29" w:rsidP="00011D29">
      <w:pPr>
        <w:pStyle w:val="ListParagraph"/>
        <w:numPr>
          <w:ilvl w:val="1"/>
          <w:numId w:val="12"/>
        </w:numPr>
        <w:ind w:left="567" w:right="-24" w:hanging="567"/>
      </w:pPr>
      <w:r w:rsidRPr="008B5A5D">
        <w:t>Analysis</w:t>
      </w:r>
      <w:r w:rsidRPr="00217CA0">
        <w:t xml:space="preserve"> of the sites granted planning permission for housing during the monitoring period shows that </w:t>
      </w:r>
      <w:r w:rsidR="000145C9">
        <w:t>6</w:t>
      </w:r>
      <w:r>
        <w:t>6</w:t>
      </w:r>
      <w:r w:rsidRPr="00217CA0">
        <w:t xml:space="preserve"> new dwellings</w:t>
      </w:r>
      <w:r w:rsidR="007E40A2">
        <w:t xml:space="preserve"> </w:t>
      </w:r>
      <w:r w:rsidRPr="00217CA0">
        <w:t xml:space="preserve">fall within that boundary (compared to </w:t>
      </w:r>
      <w:r w:rsidR="000020BD">
        <w:t xml:space="preserve">56 </w:t>
      </w:r>
      <w:r>
        <w:t>dwellings the previous</w:t>
      </w:r>
      <w:r w:rsidRPr="00217CA0">
        <w:t xml:space="preserve"> year).</w:t>
      </w:r>
      <w:r>
        <w:t xml:space="preserve"> This is largely comprised of the </w:t>
      </w:r>
      <w:r w:rsidR="007E40A2">
        <w:t>residential ex</w:t>
      </w:r>
      <w:r w:rsidR="000A003D">
        <w:t>c</w:t>
      </w:r>
      <w:r w:rsidR="007E40A2">
        <w:t>eption scheme</w:t>
      </w:r>
      <w:r w:rsidR="000A003D">
        <w:t xml:space="preserve"> for 10 dwellings</w:t>
      </w:r>
      <w:r w:rsidR="007E40A2">
        <w:t xml:space="preserve"> at</w:t>
      </w:r>
      <w:r w:rsidR="000A003D">
        <w:t xml:space="preserve"> Bartley, </w:t>
      </w:r>
      <w:r w:rsidR="002A60E4">
        <w:t>the</w:t>
      </w:r>
      <w:r w:rsidR="007E40A2">
        <w:t xml:space="preserve"> </w:t>
      </w:r>
      <w:r>
        <w:t>housing site allocation</w:t>
      </w:r>
      <w:r w:rsidR="007754E3">
        <w:t>s</w:t>
      </w:r>
      <w:r>
        <w:t xml:space="preserve"> at </w:t>
      </w:r>
      <w:r w:rsidR="001F49F7">
        <w:t>the former Lyndhurst Park Hotel,</w:t>
      </w:r>
      <w:r w:rsidR="007754E3">
        <w:t xml:space="preserve"> and at</w:t>
      </w:r>
      <w:r w:rsidR="001F49F7">
        <w:t xml:space="preserve"> </w:t>
      </w:r>
      <w:r>
        <w:t>Church</w:t>
      </w:r>
      <w:r w:rsidR="00692771">
        <w:t xml:space="preserve"> Lane</w:t>
      </w:r>
      <w:r w:rsidR="007754E3">
        <w:t xml:space="preserve"> in Sway</w:t>
      </w:r>
      <w:r>
        <w:t xml:space="preserve"> </w:t>
      </w:r>
      <w:r w:rsidR="00DF454E">
        <w:t>as well as</w:t>
      </w:r>
      <w:r w:rsidR="00700959">
        <w:t xml:space="preserve"> several </w:t>
      </w:r>
      <w:r w:rsidR="003C0847">
        <w:t>single dwelling schemes</w:t>
      </w:r>
      <w:r w:rsidR="00F2496F">
        <w:t xml:space="preserve"> primarily focused in </w:t>
      </w:r>
      <w:r w:rsidR="004E5C91">
        <w:t>the four defined villages</w:t>
      </w:r>
      <w:r>
        <w:t>.</w:t>
      </w:r>
      <w:r w:rsidRPr="00217CA0">
        <w:t xml:space="preserve"> </w:t>
      </w:r>
    </w:p>
    <w:p w14:paraId="32E830CC" w14:textId="77777777" w:rsidR="00011D29" w:rsidRDefault="00011D29" w:rsidP="00011D29">
      <w:pPr>
        <w:pStyle w:val="ListParagraph"/>
      </w:pPr>
    </w:p>
    <w:p w14:paraId="10A4D369" w14:textId="77777777" w:rsidR="00011D29" w:rsidRPr="00217CA0" w:rsidRDefault="00011D29" w:rsidP="00011D29">
      <w:pPr>
        <w:pStyle w:val="ListParagraph"/>
        <w:numPr>
          <w:ilvl w:val="1"/>
          <w:numId w:val="12"/>
        </w:numPr>
        <w:ind w:left="567" w:right="-24" w:hanging="567"/>
      </w:pPr>
      <w:r w:rsidRPr="00B94366">
        <w:t>Natural</w:t>
      </w:r>
      <w:r w:rsidRPr="00217CA0">
        <w:t xml:space="preserve"> England confirmed that they had no objections to these proposals, subject to appropriate mitigation through a financial contribution or planning condition, in line with the Authority’s mitigation scheme. The Authority routinely seeks developer contributions towards habitat mitigation measures where new residential development is permitted across the National </w:t>
      </w:r>
      <w:proofErr w:type="gramStart"/>
      <w:r w:rsidRPr="00217CA0">
        <w:t>Park, and</w:t>
      </w:r>
      <w:proofErr w:type="gramEnd"/>
      <w:r w:rsidRPr="00217CA0">
        <w:t xml:space="preserve"> works with Natural England and other partners represented on the steering group to prioritise appropriate mitigation projects.</w:t>
      </w:r>
    </w:p>
    <w:p w14:paraId="1E4F19B2" w14:textId="77777777" w:rsidR="00011D29" w:rsidRPr="00217CA0" w:rsidRDefault="00011D29" w:rsidP="00011D29">
      <w:pPr>
        <w:ind w:firstLine="709"/>
        <w:jc w:val="both"/>
        <w:rPr>
          <w:i/>
        </w:rPr>
      </w:pPr>
    </w:p>
    <w:p w14:paraId="5B997E21" w14:textId="77777777" w:rsidR="00011D29" w:rsidRPr="00217CA0" w:rsidRDefault="00011D29" w:rsidP="00011D29">
      <w:pPr>
        <w:pStyle w:val="Heading4"/>
        <w:spacing w:before="0"/>
      </w:pPr>
      <w:r w:rsidRPr="00217CA0">
        <w:lastRenderedPageBreak/>
        <w:t>Affordable housing</w:t>
      </w:r>
    </w:p>
    <w:p w14:paraId="2A88A83C" w14:textId="77777777" w:rsidR="00011D29" w:rsidRPr="00217CA0" w:rsidRDefault="00011D29" w:rsidP="00011D29"/>
    <w:p w14:paraId="57AABD05" w14:textId="67EDF326" w:rsidR="00011D29" w:rsidRDefault="00011D29" w:rsidP="00011D29">
      <w:pPr>
        <w:pStyle w:val="ListParagraph"/>
        <w:numPr>
          <w:ilvl w:val="1"/>
          <w:numId w:val="12"/>
        </w:numPr>
        <w:ind w:left="567" w:right="-24" w:hanging="567"/>
      </w:pPr>
      <w:r w:rsidRPr="008B5A5D">
        <w:t>There</w:t>
      </w:r>
      <w:r w:rsidRPr="00217CA0">
        <w:t xml:space="preserve"> were </w:t>
      </w:r>
      <w:r w:rsidR="00012926">
        <w:t>two</w:t>
      </w:r>
      <w:r w:rsidRPr="00217CA0">
        <w:t xml:space="preserve"> affordable dwellings completed during the monitoring period, </w:t>
      </w:r>
      <w:r w:rsidR="00846B54">
        <w:t>(</w:t>
      </w:r>
      <w:r w:rsidR="00ED3B4A">
        <w:t>compared to none</w:t>
      </w:r>
      <w:r w:rsidRPr="00217CA0">
        <w:t xml:space="preserve"> </w:t>
      </w:r>
      <w:r w:rsidR="007049FC">
        <w:t>the previous</w:t>
      </w:r>
      <w:r w:rsidRPr="00217CA0">
        <w:t xml:space="preserve"> year</w:t>
      </w:r>
      <w:r w:rsidR="00846B54">
        <w:t>) at the former Redmayne site in Brockenhurst</w:t>
      </w:r>
      <w:r w:rsidRPr="00217CA0">
        <w:t xml:space="preserve">. </w:t>
      </w:r>
      <w:r w:rsidR="007B51F6">
        <w:t>Additionally</w:t>
      </w:r>
      <w:r>
        <w:t xml:space="preserve">, planning permission was granted during this period for </w:t>
      </w:r>
      <w:r w:rsidR="003226D4">
        <w:t xml:space="preserve">a rural </w:t>
      </w:r>
      <w:r w:rsidR="006E05F3">
        <w:t>exception</w:t>
      </w:r>
      <w:r w:rsidR="003226D4">
        <w:t xml:space="preserve"> site at Bartley for </w:t>
      </w:r>
      <w:r w:rsidR="006603BA">
        <w:t>ten</w:t>
      </w:r>
      <w:r w:rsidR="006E05F3">
        <w:t xml:space="preserve"> new affordable dwellings</w:t>
      </w:r>
      <w:r>
        <w:t>.</w:t>
      </w:r>
    </w:p>
    <w:p w14:paraId="0EDB341C" w14:textId="1DF64CAA" w:rsidR="00011D29" w:rsidRPr="00217CA0" w:rsidRDefault="00011D29" w:rsidP="00AA5347">
      <w:pPr>
        <w:ind w:right="-24"/>
      </w:pPr>
      <w:r w:rsidRPr="00217CA0">
        <w:t xml:space="preserve"> </w:t>
      </w:r>
    </w:p>
    <w:p w14:paraId="0A6ACB4D" w14:textId="77777777" w:rsidR="00011D29" w:rsidRPr="00217CA0" w:rsidRDefault="00011D29" w:rsidP="00011D29">
      <w:pPr>
        <w:pStyle w:val="ListParagraph"/>
        <w:numPr>
          <w:ilvl w:val="1"/>
          <w:numId w:val="12"/>
        </w:numPr>
        <w:ind w:left="567" w:right="-24" w:hanging="567"/>
      </w:pPr>
      <w:r w:rsidRPr="008B5A5D">
        <w:t>The</w:t>
      </w:r>
      <w:r w:rsidRPr="00217CA0">
        <w:t xml:space="preserve"> Authority continues to work with local communities and partners to identify appropriate rural exceptions sites for affordable housing. Such sites are supported by the adopted Local Plan policies and have helped deliver over 30 net new affordable dwellings in the National Park since the Authority assumed its planning responsibilities in 2006. </w:t>
      </w:r>
    </w:p>
    <w:p w14:paraId="3E05F422" w14:textId="77777777" w:rsidR="00011D29" w:rsidRPr="00217CA0" w:rsidRDefault="00011D29" w:rsidP="00011D29">
      <w:pPr>
        <w:ind w:right="-24"/>
        <w:rPr>
          <w:rFonts w:eastAsia="Times New Roman"/>
          <w:i/>
          <w:szCs w:val="24"/>
          <w:lang w:eastAsia="ar-SA"/>
        </w:rPr>
      </w:pPr>
    </w:p>
    <w:p w14:paraId="057387CF" w14:textId="77777777" w:rsidR="00011D29" w:rsidRPr="00217CA0" w:rsidRDefault="00011D29" w:rsidP="00011D29">
      <w:pPr>
        <w:pStyle w:val="Heading4"/>
        <w:spacing w:before="0"/>
      </w:pPr>
      <w:r w:rsidRPr="00217CA0">
        <w:t>Housing density</w:t>
      </w:r>
    </w:p>
    <w:p w14:paraId="3C2DC04E" w14:textId="77777777" w:rsidR="00011D29" w:rsidRPr="00217CA0" w:rsidRDefault="00011D29" w:rsidP="00011D29">
      <w:pPr>
        <w:pStyle w:val="ListParagraph"/>
      </w:pPr>
    </w:p>
    <w:p w14:paraId="42373B57" w14:textId="723D8948" w:rsidR="00011D29" w:rsidRPr="00217CA0" w:rsidRDefault="00011D29" w:rsidP="00011D29">
      <w:pPr>
        <w:pStyle w:val="ListParagraph"/>
        <w:numPr>
          <w:ilvl w:val="1"/>
          <w:numId w:val="12"/>
        </w:numPr>
        <w:ind w:left="567" w:right="-24" w:hanging="567"/>
      </w:pPr>
      <w:r w:rsidRPr="008B5A5D">
        <w:t>The</w:t>
      </w:r>
      <w:r w:rsidRPr="00217CA0">
        <w:t xml:space="preserve"> diagram</w:t>
      </w:r>
      <w:r>
        <w:t xml:space="preserve"> </w:t>
      </w:r>
      <w:r w:rsidR="005C10C7">
        <w:t>below</w:t>
      </w:r>
      <w:r w:rsidRPr="00217CA0">
        <w:t xml:space="preserve"> illustrates the density of dwellings completed during the monitoring period. It should be noted that the data has been calculated on a mix of net and gross floor area as the data on net developable floor area was not available for all sites.</w:t>
      </w:r>
    </w:p>
    <w:p w14:paraId="57372044" w14:textId="77777777" w:rsidR="00AA5347" w:rsidRDefault="00AA5347" w:rsidP="00011D29">
      <w:pPr>
        <w:spacing w:before="20"/>
        <w:ind w:left="567"/>
        <w:jc w:val="both"/>
        <w:rPr>
          <w:b/>
          <w:iCs/>
          <w:sz w:val="22"/>
        </w:rPr>
      </w:pPr>
    </w:p>
    <w:p w14:paraId="5BEC4BA0" w14:textId="56A6C742" w:rsidR="00011D29" w:rsidRPr="00B94366" w:rsidRDefault="00011D29" w:rsidP="00011D29">
      <w:pPr>
        <w:spacing w:before="20"/>
        <w:ind w:left="567"/>
        <w:jc w:val="both"/>
        <w:rPr>
          <w:b/>
          <w:iCs/>
          <w:sz w:val="22"/>
        </w:rPr>
      </w:pPr>
      <w:r w:rsidRPr="008B5A5D">
        <w:rPr>
          <w:b/>
          <w:iCs/>
          <w:sz w:val="22"/>
        </w:rPr>
        <w:t>Figure</w:t>
      </w:r>
      <w:r w:rsidRPr="00B94366">
        <w:rPr>
          <w:b/>
          <w:iCs/>
          <w:sz w:val="22"/>
        </w:rPr>
        <w:t xml:space="preserve"> 6: Density of houses completed this monitoring period</w:t>
      </w:r>
    </w:p>
    <w:p w14:paraId="131E1CDC" w14:textId="5DEEBC29" w:rsidR="00011D29" w:rsidRPr="00217CA0" w:rsidRDefault="0049007F" w:rsidP="00011D29">
      <w:pPr>
        <w:spacing w:before="20"/>
        <w:ind w:left="567"/>
        <w:jc w:val="both"/>
        <w:rPr>
          <w:noProof/>
          <w:lang w:eastAsia="en-GB"/>
        </w:rPr>
      </w:pPr>
      <w:r>
        <w:rPr>
          <w:noProof/>
          <w14:ligatures w14:val="standardContextual"/>
        </w:rPr>
        <w:drawing>
          <wp:inline distT="0" distB="0" distL="0" distR="0" wp14:anchorId="2AB55E97" wp14:editId="003CC839">
            <wp:extent cx="5143500" cy="2004060"/>
            <wp:effectExtent l="0" t="0" r="0" b="15240"/>
            <wp:docPr id="324296075" name="Chart 1">
              <a:extLst xmlns:a="http://schemas.openxmlformats.org/drawingml/2006/main">
                <a:ext uri="{FF2B5EF4-FFF2-40B4-BE49-F238E27FC236}">
                  <a16:creationId xmlns:a16="http://schemas.microsoft.com/office/drawing/2014/main" id="{B44E8F41-C6D9-4DA4-8C57-3C360C6A1A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545CE56" w14:textId="77777777" w:rsidR="00011D29" w:rsidRPr="00657B95" w:rsidRDefault="00011D29" w:rsidP="00011D29">
      <w:pPr>
        <w:spacing w:before="20"/>
        <w:ind w:firstLine="567"/>
        <w:rPr>
          <w:iCs/>
          <w:sz w:val="20"/>
        </w:rPr>
      </w:pPr>
      <w:r w:rsidRPr="00657B95">
        <w:rPr>
          <w:iCs/>
          <w:sz w:val="20"/>
        </w:rPr>
        <w:t>Source: Hampshire County Council</w:t>
      </w:r>
    </w:p>
    <w:p w14:paraId="62096560" w14:textId="77777777" w:rsidR="00011D29" w:rsidRPr="00217CA0" w:rsidRDefault="00011D29" w:rsidP="00011D29">
      <w:pPr>
        <w:spacing w:before="20"/>
        <w:ind w:firstLine="567"/>
        <w:rPr>
          <w:i/>
          <w:sz w:val="20"/>
        </w:rPr>
      </w:pPr>
    </w:p>
    <w:p w14:paraId="1D82ED31" w14:textId="0696DE56" w:rsidR="00011D29" w:rsidRPr="00217CA0" w:rsidRDefault="00011D29" w:rsidP="00011D29">
      <w:pPr>
        <w:pStyle w:val="ListParagraph"/>
        <w:numPr>
          <w:ilvl w:val="1"/>
          <w:numId w:val="12"/>
        </w:numPr>
        <w:ind w:left="567" w:right="-24" w:hanging="567"/>
      </w:pPr>
      <w:r w:rsidRPr="008B5A5D">
        <w:t>The</w:t>
      </w:r>
      <w:r w:rsidRPr="00217CA0">
        <w:t xml:space="preserve"> completions that are</w:t>
      </w:r>
      <w:r>
        <w:t xml:space="preserve"> ‘51 to 100 dwellings’ </w:t>
      </w:r>
      <w:r w:rsidRPr="00217CA0">
        <w:t>comprise</w:t>
      </w:r>
      <w:r w:rsidR="00AD65D3">
        <w:t xml:space="preserve"> </w:t>
      </w:r>
      <w:r w:rsidR="005C0475">
        <w:t>changes of use</w:t>
      </w:r>
      <w:r>
        <w:t xml:space="preserve"> of </w:t>
      </w:r>
      <w:r w:rsidR="00332A24">
        <w:t xml:space="preserve">two </w:t>
      </w:r>
      <w:r>
        <w:t>existing properties</w:t>
      </w:r>
      <w:r w:rsidRPr="00217CA0">
        <w:t xml:space="preserve">. The lowest density developments are largely comprised of single dwellings. The Local Plan policies (particularly Policy DP34) recognise that a range of development densities will be appropriate across the National Park, depending on the site-specific circumstances. </w:t>
      </w:r>
    </w:p>
    <w:p w14:paraId="42D2380F" w14:textId="77777777" w:rsidR="00011D29" w:rsidRPr="00217CA0" w:rsidRDefault="00011D29" w:rsidP="00011D29">
      <w:pPr>
        <w:pStyle w:val="Heading4"/>
        <w:spacing w:before="0"/>
      </w:pPr>
    </w:p>
    <w:p w14:paraId="15BD6753" w14:textId="77777777" w:rsidR="00011D29" w:rsidRPr="00217CA0" w:rsidRDefault="00011D29" w:rsidP="00011D29">
      <w:pPr>
        <w:pStyle w:val="Heading4"/>
        <w:spacing w:before="0"/>
      </w:pPr>
      <w:r w:rsidRPr="00C4479D">
        <w:t>Lawful</w:t>
      </w:r>
      <w:r w:rsidRPr="00217CA0">
        <w:t xml:space="preserve"> Development Certificates</w:t>
      </w:r>
    </w:p>
    <w:p w14:paraId="1E31A6C2" w14:textId="77777777" w:rsidR="00011D29" w:rsidRPr="00217CA0" w:rsidRDefault="00011D29" w:rsidP="00011D29">
      <w:pPr>
        <w:pStyle w:val="ListParagraph"/>
        <w:ind w:left="709" w:right="-164"/>
        <w:rPr>
          <w:szCs w:val="32"/>
        </w:rPr>
      </w:pPr>
    </w:p>
    <w:p w14:paraId="71D71E84" w14:textId="3324FB98" w:rsidR="00011D29" w:rsidRPr="00217CA0" w:rsidRDefault="00011D29" w:rsidP="00011D29">
      <w:pPr>
        <w:pStyle w:val="ListParagraph"/>
        <w:numPr>
          <w:ilvl w:val="1"/>
          <w:numId w:val="12"/>
        </w:numPr>
        <w:ind w:left="567" w:right="-24" w:hanging="567"/>
      </w:pPr>
      <w:r w:rsidRPr="008B5A5D">
        <w:t>There</w:t>
      </w:r>
      <w:r w:rsidRPr="00217CA0">
        <w:t xml:space="preserve"> were </w:t>
      </w:r>
      <w:r>
        <w:t>1</w:t>
      </w:r>
      <w:r w:rsidR="00E72BD3">
        <w:t>4</w:t>
      </w:r>
      <w:r w:rsidRPr="00217CA0">
        <w:t xml:space="preserve"> dwelling units identified through the Lawful Development Certificate procedure during the monitoring period (</w:t>
      </w:r>
      <w:r w:rsidR="00E72BD3">
        <w:t>compared to 10</w:t>
      </w:r>
      <w:r w:rsidRPr="00217CA0">
        <w:t xml:space="preserve"> </w:t>
      </w:r>
      <w:r w:rsidR="00D15CC3">
        <w:t>the previous</w:t>
      </w:r>
      <w:r w:rsidRPr="00217CA0">
        <w:t xml:space="preserve"> year). These arose from </w:t>
      </w:r>
      <w:r w:rsidR="00B1658B">
        <w:t xml:space="preserve">various types of development including </w:t>
      </w:r>
      <w:r w:rsidR="00846458">
        <w:t xml:space="preserve">breaches </w:t>
      </w:r>
      <w:r w:rsidRPr="00217CA0">
        <w:t xml:space="preserve">of an agricultural occupancy condition on </w:t>
      </w:r>
      <w:proofErr w:type="gramStart"/>
      <w:r w:rsidR="00846458">
        <w:t>a num</w:t>
      </w:r>
      <w:r w:rsidR="002429D1">
        <w:t>ber of</w:t>
      </w:r>
      <w:proofErr w:type="gramEnd"/>
      <w:r w:rsidRPr="00217CA0">
        <w:t xml:space="preserve"> propert</w:t>
      </w:r>
      <w:r w:rsidR="002429D1">
        <w:t>ies, a couple of mobile homes</w:t>
      </w:r>
      <w:r w:rsidRPr="00217CA0">
        <w:t xml:space="preserve"> and the rest </w:t>
      </w:r>
      <w:r w:rsidR="00CE3889">
        <w:t xml:space="preserve">resulting </w:t>
      </w:r>
      <w:r w:rsidRPr="00217CA0">
        <w:t>from buildings being used as separate dwellings.</w:t>
      </w:r>
    </w:p>
    <w:p w14:paraId="717B68F7" w14:textId="77777777" w:rsidR="001F43BB" w:rsidRDefault="001F43BB">
      <w:pPr>
        <w:spacing w:after="160" w:line="278" w:lineRule="auto"/>
        <w:rPr>
          <w:rFonts w:eastAsiaTheme="majorEastAsia" w:cstheme="majorBidi"/>
          <w:sz w:val="32"/>
          <w:szCs w:val="32"/>
        </w:rPr>
      </w:pPr>
      <w:r>
        <w:br w:type="page"/>
      </w:r>
    </w:p>
    <w:p w14:paraId="4A1E4BD4" w14:textId="6A73A485" w:rsidR="00011D29" w:rsidRPr="00217CA0" w:rsidRDefault="00011D29" w:rsidP="00011D29">
      <w:pPr>
        <w:pStyle w:val="Heading2"/>
        <w:spacing w:before="0"/>
        <w:ind w:firstLine="567"/>
      </w:pPr>
      <w:r w:rsidRPr="00217CA0">
        <w:lastRenderedPageBreak/>
        <w:t>Defined villages</w:t>
      </w:r>
    </w:p>
    <w:p w14:paraId="074FCDD3" w14:textId="77777777" w:rsidR="00011D29" w:rsidRPr="00217CA0" w:rsidRDefault="00011D29" w:rsidP="00011D29">
      <w:pPr>
        <w:pStyle w:val="ListParagraph"/>
      </w:pPr>
    </w:p>
    <w:p w14:paraId="1B97C7E9" w14:textId="77777777" w:rsidR="00011D29" w:rsidRPr="00217CA0" w:rsidRDefault="00011D29" w:rsidP="00011D29">
      <w:pPr>
        <w:pStyle w:val="Heading3"/>
        <w:spacing w:before="0"/>
      </w:pPr>
      <w:bookmarkStart w:id="9" w:name="_Hlk33795008"/>
      <w:r w:rsidRPr="00217CA0">
        <w:t>Retail</w:t>
      </w:r>
    </w:p>
    <w:p w14:paraId="28DCE839" w14:textId="77777777" w:rsidR="00011D29" w:rsidRPr="00217CA0" w:rsidRDefault="00011D29" w:rsidP="00011D29">
      <w:pPr>
        <w:rPr>
          <w:szCs w:val="32"/>
        </w:rPr>
      </w:pPr>
    </w:p>
    <w:p w14:paraId="3DC59D7C" w14:textId="2B17D814" w:rsidR="00011D29" w:rsidRPr="00217CA0" w:rsidRDefault="00011D29" w:rsidP="00011D29">
      <w:pPr>
        <w:pStyle w:val="ListParagraph"/>
        <w:numPr>
          <w:ilvl w:val="1"/>
          <w:numId w:val="12"/>
        </w:numPr>
        <w:ind w:left="567" w:right="-24" w:hanging="567"/>
      </w:pPr>
      <w:r w:rsidRPr="008B5A5D">
        <w:t>The</w:t>
      </w:r>
      <w:r w:rsidRPr="00217CA0">
        <w:t xml:space="preserve"> Local Plan sets out shopping frontages in the four defined villages in the</w:t>
      </w:r>
      <w:r w:rsidR="000D4869">
        <w:t xml:space="preserve"> existing adopted Local Plan for the</w:t>
      </w:r>
      <w:r w:rsidRPr="00217CA0">
        <w:t xml:space="preserve"> National Park. </w:t>
      </w:r>
      <w:r w:rsidR="00934A26">
        <w:t>P</w:t>
      </w:r>
      <w:r w:rsidRPr="00217CA0">
        <w:t xml:space="preserve">olicy DP40 seeks to safeguard the role of the defined villages in meeting some of the day-to-day retail needs of </w:t>
      </w:r>
      <w:proofErr w:type="gramStart"/>
      <w:r w:rsidRPr="00217CA0">
        <w:t>local residents</w:t>
      </w:r>
      <w:proofErr w:type="gramEnd"/>
      <w:r w:rsidRPr="00217CA0">
        <w:t xml:space="preserve"> and visitors.</w:t>
      </w:r>
    </w:p>
    <w:p w14:paraId="61378286" w14:textId="77777777" w:rsidR="00011D29" w:rsidRPr="00217CA0" w:rsidRDefault="00011D29" w:rsidP="00011D29">
      <w:pPr>
        <w:pStyle w:val="ListParagraph"/>
        <w:ind w:left="709" w:right="-164"/>
      </w:pPr>
    </w:p>
    <w:p w14:paraId="29973EC6" w14:textId="77777777" w:rsidR="00011D29" w:rsidRPr="00217CA0" w:rsidRDefault="00011D29" w:rsidP="00011D29">
      <w:pPr>
        <w:pStyle w:val="ListParagraph"/>
        <w:numPr>
          <w:ilvl w:val="1"/>
          <w:numId w:val="12"/>
        </w:numPr>
        <w:ind w:left="567" w:right="-24" w:hanging="567"/>
      </w:pPr>
      <w:r w:rsidRPr="008B5A5D">
        <w:t>From</w:t>
      </w:r>
      <w:r w:rsidRPr="00217CA0">
        <w:t xml:space="preserve"> 1 September 2020, the Town and Country Planning (Use Classes) (Amendment) (England) Regulations 2020 came into effect. These changes have resulted in the revocation of Classes A and D from the Use Classes Order which limits the effectiveness of how the shopping frontage policies can be monitored. This means that shops, financial and professional services and cafes and restaurants all now fall within Class E and can change between different uses within that class without needing to apply for planning permission.</w:t>
      </w:r>
    </w:p>
    <w:p w14:paraId="2A500195" w14:textId="77777777" w:rsidR="00011D29" w:rsidRPr="00217CA0" w:rsidRDefault="00011D29" w:rsidP="00011D29">
      <w:pPr>
        <w:pStyle w:val="ListParagraph"/>
        <w:ind w:left="567" w:right="-24" w:hanging="567"/>
      </w:pPr>
    </w:p>
    <w:p w14:paraId="5A5967D3" w14:textId="212D4ED6" w:rsidR="00011D29" w:rsidRPr="00217CA0" w:rsidRDefault="00011D29" w:rsidP="00011D29">
      <w:pPr>
        <w:pStyle w:val="ListParagraph"/>
        <w:numPr>
          <w:ilvl w:val="1"/>
          <w:numId w:val="12"/>
        </w:numPr>
        <w:ind w:left="567" w:right="-24" w:hanging="567"/>
      </w:pPr>
      <w:r w:rsidRPr="008B5A5D">
        <w:t>A survey</w:t>
      </w:r>
      <w:r w:rsidRPr="00217CA0">
        <w:t xml:space="preserve"> of the shopping frontages in the four defined villages was undertaken in </w:t>
      </w:r>
      <w:proofErr w:type="gramStart"/>
      <w:r w:rsidRPr="00217CA0">
        <w:t>Ju</w:t>
      </w:r>
      <w:r>
        <w:t>ly 202</w:t>
      </w:r>
      <w:r w:rsidR="00A30941">
        <w:t>5</w:t>
      </w:r>
      <w:r w:rsidRPr="00217CA0">
        <w:t>, and</w:t>
      </w:r>
      <w:proofErr w:type="gramEnd"/>
      <w:r w:rsidRPr="00217CA0">
        <w:t xml:space="preserve"> analysed for the purposes of this monitoring report </w:t>
      </w:r>
      <w:proofErr w:type="gramStart"/>
      <w:r w:rsidRPr="00217CA0">
        <w:t>on the basis of</w:t>
      </w:r>
      <w:proofErr w:type="gramEnd"/>
      <w:r w:rsidRPr="00217CA0">
        <w:t xml:space="preserve"> the old use classes. This identified little change from the previous survey. In the villages of Brockenhurst and Lyndhurst the numbers of retail (A1) units remain above the recommended minimum of 50%, at 57% and 5</w:t>
      </w:r>
      <w:r>
        <w:t>4</w:t>
      </w:r>
      <w:r w:rsidRPr="00217CA0">
        <w:t xml:space="preserve">% respectively. The proportion of retail units in Sway at </w:t>
      </w:r>
      <w:r w:rsidR="00780AF3">
        <w:t>25</w:t>
      </w:r>
      <w:r w:rsidRPr="00217CA0">
        <w:t xml:space="preserve">% </w:t>
      </w:r>
      <w:r w:rsidR="00780AF3">
        <w:t xml:space="preserve">has decreased from the 33% identified </w:t>
      </w:r>
      <w:r w:rsidR="00154A6F">
        <w:t>in July 2024</w:t>
      </w:r>
      <w:r w:rsidRPr="00217CA0">
        <w:t xml:space="preserve"> </w:t>
      </w:r>
      <w:r w:rsidR="00AA0410">
        <w:t>and</w:t>
      </w:r>
      <w:r w:rsidR="00154A6F">
        <w:t xml:space="preserve"> now falls well</w:t>
      </w:r>
      <w:r w:rsidRPr="00217CA0">
        <w:t xml:space="preserve"> below the recommended policy threshold of 40%. The proportion of retail units in Ashurst also remains the same as</w:t>
      </w:r>
      <w:r>
        <w:t xml:space="preserve"> the</w:t>
      </w:r>
      <w:r w:rsidRPr="00217CA0">
        <w:t xml:space="preserve"> last</w:t>
      </w:r>
      <w:r>
        <w:t xml:space="preserve"> </w:t>
      </w:r>
      <w:r w:rsidR="004B39D0">
        <w:t>three</w:t>
      </w:r>
      <w:r w:rsidRPr="00217CA0">
        <w:t xml:space="preserve"> year</w:t>
      </w:r>
      <w:r>
        <w:t>s</w:t>
      </w:r>
      <w:r w:rsidRPr="00217CA0">
        <w:t xml:space="preserve"> at 23%, which</w:t>
      </w:r>
      <w:r>
        <w:t xml:space="preserve"> again</w:t>
      </w:r>
      <w:r w:rsidRPr="00217CA0">
        <w:t xml:space="preserve"> remains significantly below the minimum threshold of 40%</w:t>
      </w:r>
      <w:r>
        <w:t xml:space="preserve"> set out in Local Plan Policy DP40</w:t>
      </w:r>
      <w:r w:rsidRPr="00217CA0">
        <w:t>. However, as the shopping frontage in Ashurst comprises 13 units (both retail uses and non-retail uses) it is particularly sensitive to any change of use in one or more of those units and results in a proportionally significant overall change in the percentage value</w:t>
      </w:r>
      <w:r>
        <w:t xml:space="preserve">, </w:t>
      </w:r>
      <w:r w:rsidRPr="00217CA0">
        <w:t xml:space="preserve">as opposed to say Lyndhurst where there are 83 units, thus a change of one or two units has very little impact on the overall percentages. </w:t>
      </w:r>
    </w:p>
    <w:p w14:paraId="32F0FA6C" w14:textId="77777777" w:rsidR="00011D29" w:rsidRPr="00217CA0" w:rsidRDefault="00011D29" w:rsidP="00011D29">
      <w:pPr>
        <w:pStyle w:val="ListParagraph"/>
        <w:ind w:left="567" w:right="-24" w:hanging="567"/>
      </w:pPr>
    </w:p>
    <w:p w14:paraId="61C3C2DF" w14:textId="0E440A3A" w:rsidR="00011D29" w:rsidRPr="00217CA0" w:rsidRDefault="00011D29" w:rsidP="00011D29">
      <w:pPr>
        <w:pStyle w:val="ListParagraph"/>
        <w:numPr>
          <w:ilvl w:val="1"/>
          <w:numId w:val="12"/>
        </w:numPr>
        <w:ind w:left="567" w:right="-24" w:hanging="567"/>
      </w:pPr>
      <w:proofErr w:type="gramStart"/>
      <w:r w:rsidRPr="00B94366">
        <w:t>With</w:t>
      </w:r>
      <w:r w:rsidRPr="00217CA0">
        <w:t xml:space="preserve"> </w:t>
      </w:r>
      <w:r w:rsidRPr="008B5A5D">
        <w:t>regard</w:t>
      </w:r>
      <w:r w:rsidRPr="00217CA0">
        <w:t xml:space="preserve"> to</w:t>
      </w:r>
      <w:proofErr w:type="gramEnd"/>
      <w:r w:rsidRPr="00217CA0">
        <w:t xml:space="preserve"> vacancy rates, there was little change from the </w:t>
      </w:r>
      <w:r>
        <w:t>previous year</w:t>
      </w:r>
      <w:r w:rsidRPr="00217CA0">
        <w:t>. Ashurst had one vacant unit in 202</w:t>
      </w:r>
      <w:r w:rsidR="004D262E">
        <w:t>5</w:t>
      </w:r>
      <w:r w:rsidRPr="00217CA0">
        <w:t xml:space="preserve">, </w:t>
      </w:r>
      <w:r>
        <w:t>same as the</w:t>
      </w:r>
      <w:r w:rsidRPr="00217CA0">
        <w:t xml:space="preserve"> previous </w:t>
      </w:r>
      <w:r w:rsidR="004D262E">
        <w:t xml:space="preserve">two </w:t>
      </w:r>
      <w:r w:rsidRPr="00217CA0">
        <w:t>year</w:t>
      </w:r>
      <w:r w:rsidR="004D262E">
        <w:t>s</w:t>
      </w:r>
      <w:r w:rsidRPr="00217CA0">
        <w:t xml:space="preserve">. Brockenhurst </w:t>
      </w:r>
      <w:r w:rsidR="00AC7C1D">
        <w:t xml:space="preserve">and Lyndhurst </w:t>
      </w:r>
      <w:r w:rsidRPr="00217CA0">
        <w:t xml:space="preserve">had </w:t>
      </w:r>
      <w:r w:rsidR="00AC7C1D">
        <w:t xml:space="preserve">the same vacancy rates as </w:t>
      </w:r>
      <w:r w:rsidR="00D741B7">
        <w:t xml:space="preserve">2024, at </w:t>
      </w:r>
      <w:r>
        <w:t>one</w:t>
      </w:r>
      <w:r w:rsidRPr="00217CA0">
        <w:t xml:space="preserve"> </w:t>
      </w:r>
      <w:r w:rsidR="00D741B7">
        <w:t>and</w:t>
      </w:r>
      <w:r w:rsidRPr="00217CA0">
        <w:t xml:space="preserve"> </w:t>
      </w:r>
      <w:r>
        <w:t>six</w:t>
      </w:r>
      <w:r w:rsidRPr="00217CA0">
        <w:t xml:space="preserve"> units</w:t>
      </w:r>
      <w:r w:rsidR="00D741B7">
        <w:t xml:space="preserve"> respectively. </w:t>
      </w:r>
      <w:r w:rsidRPr="00217CA0">
        <w:t xml:space="preserve">Sway had </w:t>
      </w:r>
      <w:r w:rsidR="00B92606">
        <w:t>no vacancies, compared to three vacant units last year</w:t>
      </w:r>
      <w:r w:rsidRPr="00217CA0">
        <w:t xml:space="preserve">. </w:t>
      </w:r>
    </w:p>
    <w:bookmarkEnd w:id="9"/>
    <w:p w14:paraId="2E17C359" w14:textId="77777777" w:rsidR="00011D29" w:rsidRPr="00217CA0" w:rsidRDefault="00011D29" w:rsidP="00011D29">
      <w:pPr>
        <w:ind w:right="-23"/>
        <w:rPr>
          <w:b/>
        </w:rPr>
      </w:pPr>
    </w:p>
    <w:p w14:paraId="60ADFB1B" w14:textId="77777777" w:rsidR="00011D29" w:rsidRPr="00217CA0" w:rsidRDefault="00011D29" w:rsidP="00011D29">
      <w:pPr>
        <w:pStyle w:val="Heading2"/>
        <w:spacing w:before="0"/>
        <w:ind w:firstLine="567"/>
      </w:pPr>
      <w:r w:rsidRPr="00C4479D">
        <w:t>Community</w:t>
      </w:r>
      <w:r w:rsidRPr="00217CA0">
        <w:t xml:space="preserve"> facilities</w:t>
      </w:r>
    </w:p>
    <w:p w14:paraId="0D87297B" w14:textId="77777777" w:rsidR="00011D29" w:rsidRPr="00217CA0" w:rsidRDefault="00011D29" w:rsidP="00011D29">
      <w:pPr>
        <w:pStyle w:val="ListParagraph"/>
        <w:ind w:right="-23"/>
      </w:pPr>
    </w:p>
    <w:p w14:paraId="154F1207" w14:textId="1CC45B08" w:rsidR="00011D29" w:rsidRPr="00217CA0" w:rsidRDefault="00011D29" w:rsidP="00011D29">
      <w:pPr>
        <w:pStyle w:val="ListParagraph"/>
        <w:numPr>
          <w:ilvl w:val="1"/>
          <w:numId w:val="12"/>
        </w:numPr>
        <w:ind w:left="567" w:right="-23" w:hanging="567"/>
        <w:rPr>
          <w:b/>
        </w:rPr>
      </w:pPr>
      <w:r w:rsidRPr="008B5A5D">
        <w:t>Several</w:t>
      </w:r>
      <w:r w:rsidRPr="00217CA0">
        <w:t xml:space="preserve"> planning applications have been permitted for community facilities, spread throughout communities across the National Park. These applications comprise improvements to </w:t>
      </w:r>
      <w:r w:rsidR="00AD5216">
        <w:t>a church, village hall and new school classrooms</w:t>
      </w:r>
      <w:r w:rsidR="007805A4">
        <w:t>.</w:t>
      </w:r>
      <w:r w:rsidRPr="00217CA0">
        <w:t xml:space="preserve"> </w:t>
      </w:r>
      <w:r>
        <w:t xml:space="preserve">In addition, </w:t>
      </w:r>
      <w:r w:rsidR="007805A4">
        <w:t>a new Multi Use Games Area (MUGA) was created</w:t>
      </w:r>
      <w:r w:rsidR="006D7F8A">
        <w:t xml:space="preserve"> at Dibden</w:t>
      </w:r>
      <w:r w:rsidRPr="00217CA0">
        <w:t xml:space="preserve">. </w:t>
      </w:r>
    </w:p>
    <w:p w14:paraId="15734ED1" w14:textId="77777777" w:rsidR="00011D29" w:rsidRPr="00217CA0" w:rsidRDefault="00011D29" w:rsidP="00011D29">
      <w:pPr>
        <w:pStyle w:val="ListParagraph"/>
        <w:ind w:left="567" w:right="-23" w:hanging="567"/>
        <w:rPr>
          <w:b/>
        </w:rPr>
      </w:pPr>
    </w:p>
    <w:p w14:paraId="03A36B37" w14:textId="77777777" w:rsidR="00011D29" w:rsidRPr="00217CA0" w:rsidRDefault="00011D29" w:rsidP="00011D29">
      <w:pPr>
        <w:pStyle w:val="ListParagraph"/>
        <w:numPr>
          <w:ilvl w:val="1"/>
          <w:numId w:val="12"/>
        </w:numPr>
        <w:ind w:left="567" w:right="-23" w:hanging="567"/>
        <w:rPr>
          <w:b/>
        </w:rPr>
      </w:pPr>
      <w:r w:rsidRPr="008B5A5D">
        <w:lastRenderedPageBreak/>
        <w:t>The</w:t>
      </w:r>
      <w:r w:rsidRPr="00217CA0">
        <w:t xml:space="preserve"> Local Plan supports the retention of existing community facilities and the development of essential community facilities, in accordance with the Authority’s socio-economic duty (set out in Policy SP39). </w:t>
      </w:r>
    </w:p>
    <w:p w14:paraId="6474A2AC" w14:textId="77777777" w:rsidR="00011D29" w:rsidRPr="00217CA0" w:rsidRDefault="00011D29" w:rsidP="00011D29">
      <w:pPr>
        <w:ind w:right="-23"/>
        <w:rPr>
          <w:b/>
        </w:rPr>
      </w:pPr>
    </w:p>
    <w:p w14:paraId="69919765" w14:textId="77777777" w:rsidR="00011D29" w:rsidRPr="00217CA0" w:rsidRDefault="00011D29" w:rsidP="00011D29">
      <w:pPr>
        <w:pStyle w:val="Heading2"/>
        <w:spacing w:before="0" w:after="0"/>
        <w:ind w:firstLine="567"/>
      </w:pPr>
      <w:bookmarkStart w:id="10" w:name="_Hlk26452661"/>
      <w:r w:rsidRPr="00217CA0">
        <w:t>Developer contributions</w:t>
      </w:r>
    </w:p>
    <w:p w14:paraId="1169E1A6" w14:textId="77777777" w:rsidR="00011D29" w:rsidRPr="00217CA0" w:rsidRDefault="00011D29" w:rsidP="00011D29">
      <w:pPr>
        <w:pStyle w:val="ListParagraph"/>
        <w:ind w:left="709" w:right="-23"/>
        <w:jc w:val="both"/>
        <w:rPr>
          <w:szCs w:val="18"/>
        </w:rPr>
      </w:pPr>
    </w:p>
    <w:p w14:paraId="26025C9F" w14:textId="77777777" w:rsidR="00011D29" w:rsidRDefault="00011D29" w:rsidP="00011D29">
      <w:pPr>
        <w:pStyle w:val="ListParagraph"/>
        <w:numPr>
          <w:ilvl w:val="1"/>
          <w:numId w:val="12"/>
        </w:numPr>
        <w:ind w:left="567" w:right="-23" w:hanging="567"/>
      </w:pPr>
      <w:r w:rsidRPr="008B5A5D">
        <w:t>Policy</w:t>
      </w:r>
      <w:r w:rsidRPr="00217CA0">
        <w:t xml:space="preserve"> </w:t>
      </w:r>
      <w:r>
        <w:t xml:space="preserve">SP38 of the Local Plan emphasises that development proposals shall make provision for the infrastructure and measures necessary to ensure that the development is acceptable in planning terms. The National Park Authority has not implemented the Community Infrastructure Levy (CIL) but seeks appropriate contributions in line with the tests in national planning and the published planning policy for the New Forest National Park. These are usually secured through Section 106 legal agreements or Unilateral Undertakings and can include developer contributions towards affordable housing, public transport and open space provision. </w:t>
      </w:r>
    </w:p>
    <w:p w14:paraId="43A805E5" w14:textId="77777777" w:rsidR="00011D29" w:rsidRPr="00217CA0" w:rsidRDefault="00011D29" w:rsidP="00011D29">
      <w:pPr>
        <w:pStyle w:val="ListParagraph"/>
        <w:ind w:left="567" w:right="-164" w:hanging="567"/>
      </w:pPr>
    </w:p>
    <w:p w14:paraId="1FF6FCA2" w14:textId="77777777" w:rsidR="00011D29" w:rsidRPr="00217CA0" w:rsidRDefault="00011D29" w:rsidP="00011D29">
      <w:pPr>
        <w:pStyle w:val="ListParagraph"/>
        <w:numPr>
          <w:ilvl w:val="1"/>
          <w:numId w:val="12"/>
        </w:numPr>
        <w:ind w:left="567" w:right="-164" w:hanging="567"/>
      </w:pPr>
      <w:r w:rsidRPr="008B5A5D">
        <w:t>Developer</w:t>
      </w:r>
      <w:r w:rsidRPr="00217CA0">
        <w:t xml:space="preserve"> contributions are also </w:t>
      </w:r>
      <w:r>
        <w:t>sought</w:t>
      </w:r>
      <w:r w:rsidRPr="00217CA0">
        <w:t xml:space="preserve"> to mitigate the impacts of increased recreational pressures associated with new residential and visitor accommodation development on the internationally protected habitats of the Solent coast and the New Forest heathlands. Further details of these mitigation schemes can be found in the Authority’s updated </w:t>
      </w:r>
      <w:hyperlink r:id="rId22" w:history="1">
        <w:r w:rsidRPr="00217CA0">
          <w:rPr>
            <w:rStyle w:val="Hyperlink"/>
          </w:rPr>
          <w:t>Habitat Mitigation Scheme</w:t>
        </w:r>
      </w:hyperlink>
      <w:r w:rsidRPr="00217CA0">
        <w:t xml:space="preserve"> (2020) and the </w:t>
      </w:r>
      <w:hyperlink r:id="rId23" w:history="1">
        <w:r w:rsidRPr="00217CA0">
          <w:rPr>
            <w:rStyle w:val="Hyperlink"/>
          </w:rPr>
          <w:t>Bird Aware Solent Strategy</w:t>
        </w:r>
      </w:hyperlink>
      <w:r w:rsidRPr="00217CA0">
        <w:t>.</w:t>
      </w:r>
    </w:p>
    <w:p w14:paraId="61468F8B" w14:textId="77777777" w:rsidR="00011D29" w:rsidRPr="00217CA0" w:rsidRDefault="00011D29" w:rsidP="00011D29">
      <w:pPr>
        <w:pStyle w:val="ListParagraph"/>
        <w:ind w:left="567" w:hanging="567"/>
      </w:pPr>
    </w:p>
    <w:p w14:paraId="6AFDA647" w14:textId="589BCDAB" w:rsidR="00011D29" w:rsidRDefault="00011D29" w:rsidP="00011D29">
      <w:pPr>
        <w:pStyle w:val="ListParagraph"/>
        <w:numPr>
          <w:ilvl w:val="1"/>
          <w:numId w:val="12"/>
        </w:numPr>
        <w:ind w:left="567" w:right="-164" w:hanging="567"/>
      </w:pPr>
      <w:r w:rsidRPr="008B5A5D">
        <w:t>The</w:t>
      </w:r>
      <w:r>
        <w:t xml:space="preserve"> </w:t>
      </w:r>
      <w:r w:rsidR="00280F42" w:rsidRPr="00280F42">
        <w:t xml:space="preserve">amount of developer contributions received by the National Park Authority in 2024 </w:t>
      </w:r>
      <w:r w:rsidR="0001310B">
        <w:t>to</w:t>
      </w:r>
      <w:r w:rsidR="00280F42" w:rsidRPr="00280F42">
        <w:t xml:space="preserve"> 2025 increased substantially from the preceding reporting year (when just under £</w:t>
      </w:r>
      <w:r w:rsidR="00501035">
        <w:t>98</w:t>
      </w:r>
      <w:r w:rsidR="00280F42" w:rsidRPr="00280F42">
        <w:t xml:space="preserve">,000 was received). Developer contributions in the reporting year were received from windfall developments and temporary campsites (which are required to address impacts under the requirements of the Habitats Regulations for legal compliance). As anticipated in last year’s report, the adopted New Forest National Park Local Plan (2019) housing site allocations at the site of the former Lyndhurst Park Hotel (79 dwellings) and land at Whartons Lane, Ashurst (62 dwellings) reached their triggers for payments in </w:t>
      </w:r>
      <w:r w:rsidR="004C0134">
        <w:t>this monitoring period</w:t>
      </w:r>
      <w:r w:rsidR="00280F42" w:rsidRPr="00280F42">
        <w:t xml:space="preserve"> </w:t>
      </w:r>
      <w:r w:rsidR="004C0134">
        <w:t>which</w:t>
      </w:r>
      <w:r w:rsidR="00280F42" w:rsidRPr="00280F42">
        <w:t xml:space="preserve"> accounted for </w:t>
      </w:r>
      <w:proofErr w:type="gramStart"/>
      <w:r w:rsidR="00280F42" w:rsidRPr="00280F42">
        <w:t>the majority of</w:t>
      </w:r>
      <w:proofErr w:type="gramEnd"/>
      <w:r w:rsidR="00280F42" w:rsidRPr="00280F42">
        <w:t xml:space="preserve"> the financial contributions received.</w:t>
      </w:r>
    </w:p>
    <w:p w14:paraId="1FE0E961" w14:textId="77777777" w:rsidR="00011D29" w:rsidRPr="00217CA0" w:rsidRDefault="00011D29" w:rsidP="00011D29">
      <w:pPr>
        <w:ind w:left="567" w:right="-164" w:hanging="567"/>
      </w:pPr>
    </w:p>
    <w:p w14:paraId="1266042F" w14:textId="7613F96D" w:rsidR="00011D29" w:rsidRPr="00217CA0" w:rsidRDefault="00011D29" w:rsidP="00011D29">
      <w:pPr>
        <w:pStyle w:val="ListParagraph"/>
        <w:numPr>
          <w:ilvl w:val="1"/>
          <w:numId w:val="12"/>
        </w:numPr>
        <w:ind w:left="567" w:right="-164" w:hanging="567"/>
      </w:pPr>
      <w:r w:rsidRPr="008B5A5D">
        <w:t>The</w:t>
      </w:r>
      <w:r w:rsidRPr="00217CA0">
        <w:t xml:space="preserve"> </w:t>
      </w:r>
      <w:r w:rsidRPr="00C4479D">
        <w:t>developer</w:t>
      </w:r>
      <w:r w:rsidRPr="00217CA0">
        <w:t xml:space="preserve"> contribution monies received and released by the Authority during the</w:t>
      </w:r>
      <w:r>
        <w:t xml:space="preserve"> 202</w:t>
      </w:r>
      <w:r w:rsidR="00172D94">
        <w:t>4</w:t>
      </w:r>
      <w:r>
        <w:t xml:space="preserve"> to 202</w:t>
      </w:r>
      <w:r w:rsidR="00172D94">
        <w:t>5</w:t>
      </w:r>
      <w:r w:rsidRPr="00217CA0">
        <w:t xml:space="preserve"> monitoring period are set out in the table below. </w:t>
      </w:r>
    </w:p>
    <w:p w14:paraId="6EBB3FA9" w14:textId="77777777" w:rsidR="00011D29" w:rsidRPr="00217CA0" w:rsidRDefault="00011D29" w:rsidP="00011D29">
      <w:pPr>
        <w:pStyle w:val="ListParagraph"/>
      </w:pPr>
    </w:p>
    <w:p w14:paraId="20862644" w14:textId="13FC2244" w:rsidR="00011D29" w:rsidRPr="00B94366" w:rsidRDefault="00011D29" w:rsidP="00011D29">
      <w:pPr>
        <w:pStyle w:val="ListParagraph"/>
        <w:spacing w:before="20"/>
        <w:ind w:left="709"/>
        <w:jc w:val="both"/>
        <w:rPr>
          <w:iCs/>
          <w:sz w:val="22"/>
        </w:rPr>
      </w:pPr>
      <w:r w:rsidRPr="008B5A5D">
        <w:rPr>
          <w:b/>
          <w:iCs/>
          <w:sz w:val="22"/>
        </w:rPr>
        <w:t>Figure</w:t>
      </w:r>
      <w:r w:rsidRPr="00B94366">
        <w:rPr>
          <w:b/>
          <w:iCs/>
          <w:sz w:val="22"/>
        </w:rPr>
        <w:t xml:space="preserve"> 7: Developer contributions 202</w:t>
      </w:r>
      <w:r w:rsidR="005501CC">
        <w:rPr>
          <w:b/>
          <w:iCs/>
          <w:sz w:val="22"/>
        </w:rPr>
        <w:t>4</w:t>
      </w:r>
      <w:r w:rsidRPr="00B94366">
        <w:rPr>
          <w:b/>
          <w:iCs/>
          <w:sz w:val="22"/>
        </w:rPr>
        <w:t xml:space="preserve"> / 202</w:t>
      </w:r>
      <w:r w:rsidR="005501CC">
        <w:rPr>
          <w:b/>
          <w:iCs/>
          <w:sz w:val="22"/>
        </w:rPr>
        <w:t>5</w:t>
      </w:r>
    </w:p>
    <w:tbl>
      <w:tblPr>
        <w:tblpPr w:leftFromText="180" w:rightFromText="180" w:vertAnchor="text" w:horzAnchor="page" w:tblpX="2149" w:tblpY="107"/>
        <w:tblW w:w="84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09"/>
        <w:gridCol w:w="1276"/>
        <w:gridCol w:w="4110"/>
      </w:tblGrid>
      <w:tr w:rsidR="00011D29" w:rsidRPr="00217CA0" w14:paraId="5E3EBA6A" w14:textId="77777777" w:rsidTr="00934A26">
        <w:tc>
          <w:tcPr>
            <w:tcW w:w="3109" w:type="dxa"/>
            <w:shd w:val="clear" w:color="auto" w:fill="F2F2F2"/>
            <w:tcMar>
              <w:top w:w="0" w:type="dxa"/>
              <w:left w:w="108" w:type="dxa"/>
              <w:bottom w:w="0" w:type="dxa"/>
              <w:right w:w="108" w:type="dxa"/>
            </w:tcMar>
            <w:hideMark/>
          </w:tcPr>
          <w:p w14:paraId="5576B985" w14:textId="77777777" w:rsidR="00011D29" w:rsidRPr="00217CA0" w:rsidRDefault="00011D29" w:rsidP="00A006A3">
            <w:pPr>
              <w:jc w:val="center"/>
              <w:rPr>
                <w:rFonts w:ascii="Calibri" w:hAnsi="Calibri"/>
                <w:b/>
                <w:bCs/>
                <w:szCs w:val="24"/>
              </w:rPr>
            </w:pPr>
            <w:r w:rsidRPr="00217CA0">
              <w:rPr>
                <w:b/>
                <w:bCs/>
                <w:szCs w:val="24"/>
              </w:rPr>
              <w:t>Type of Contribution</w:t>
            </w:r>
          </w:p>
        </w:tc>
        <w:tc>
          <w:tcPr>
            <w:tcW w:w="1276" w:type="dxa"/>
            <w:shd w:val="clear" w:color="auto" w:fill="F2F2F2"/>
            <w:tcMar>
              <w:top w:w="0" w:type="dxa"/>
              <w:left w:w="108" w:type="dxa"/>
              <w:bottom w:w="0" w:type="dxa"/>
              <w:right w:w="108" w:type="dxa"/>
            </w:tcMar>
            <w:hideMark/>
          </w:tcPr>
          <w:p w14:paraId="46B813B5" w14:textId="77777777" w:rsidR="00011D29" w:rsidRPr="00217CA0" w:rsidRDefault="00011D29" w:rsidP="00A006A3">
            <w:pPr>
              <w:jc w:val="center"/>
              <w:rPr>
                <w:b/>
                <w:bCs/>
                <w:szCs w:val="24"/>
              </w:rPr>
            </w:pPr>
            <w:r w:rsidRPr="00217CA0">
              <w:rPr>
                <w:b/>
                <w:bCs/>
                <w:szCs w:val="24"/>
              </w:rPr>
              <w:t xml:space="preserve">Amount received </w:t>
            </w:r>
          </w:p>
          <w:p w14:paraId="1ED8F247" w14:textId="77777777" w:rsidR="00011D29" w:rsidRPr="00217CA0" w:rsidRDefault="00011D29" w:rsidP="00A006A3">
            <w:pPr>
              <w:jc w:val="center"/>
              <w:rPr>
                <w:rFonts w:ascii="Calibri" w:hAnsi="Calibri"/>
                <w:b/>
                <w:bCs/>
                <w:szCs w:val="24"/>
              </w:rPr>
            </w:pPr>
          </w:p>
        </w:tc>
        <w:tc>
          <w:tcPr>
            <w:tcW w:w="4110" w:type="dxa"/>
            <w:shd w:val="clear" w:color="auto" w:fill="F2F2F2"/>
            <w:tcMar>
              <w:top w:w="0" w:type="dxa"/>
              <w:left w:w="108" w:type="dxa"/>
              <w:bottom w:w="0" w:type="dxa"/>
              <w:right w:w="108" w:type="dxa"/>
            </w:tcMar>
            <w:hideMark/>
          </w:tcPr>
          <w:p w14:paraId="03D35A60" w14:textId="77777777" w:rsidR="00011D29" w:rsidRPr="00217CA0" w:rsidRDefault="00011D29" w:rsidP="00A006A3">
            <w:pPr>
              <w:rPr>
                <w:rFonts w:ascii="Calibri" w:hAnsi="Calibri"/>
                <w:b/>
                <w:bCs/>
                <w:szCs w:val="24"/>
              </w:rPr>
            </w:pPr>
            <w:r w:rsidRPr="00217CA0">
              <w:rPr>
                <w:b/>
                <w:bCs/>
                <w:szCs w:val="24"/>
              </w:rPr>
              <w:t xml:space="preserve">Amount released </w:t>
            </w:r>
          </w:p>
        </w:tc>
      </w:tr>
      <w:tr w:rsidR="00011D29" w:rsidRPr="00217CA0" w14:paraId="2B959B8B" w14:textId="77777777" w:rsidTr="00934A26">
        <w:trPr>
          <w:trHeight w:val="309"/>
        </w:trPr>
        <w:tc>
          <w:tcPr>
            <w:tcW w:w="3109" w:type="dxa"/>
            <w:tcMar>
              <w:top w:w="0" w:type="dxa"/>
              <w:left w:w="108" w:type="dxa"/>
              <w:bottom w:w="0" w:type="dxa"/>
              <w:right w:w="108" w:type="dxa"/>
            </w:tcMar>
            <w:hideMark/>
          </w:tcPr>
          <w:p w14:paraId="27824E6C" w14:textId="77777777" w:rsidR="00011D29" w:rsidRPr="00217CA0" w:rsidRDefault="00011D29" w:rsidP="00A006A3">
            <w:pPr>
              <w:ind w:left="22"/>
              <w:rPr>
                <w:rFonts w:ascii="Calibri" w:hAnsi="Calibri"/>
                <w:szCs w:val="24"/>
              </w:rPr>
            </w:pPr>
            <w:r>
              <w:t xml:space="preserve">Affordable housing </w:t>
            </w:r>
          </w:p>
        </w:tc>
        <w:tc>
          <w:tcPr>
            <w:tcW w:w="1276" w:type="dxa"/>
            <w:tcMar>
              <w:top w:w="0" w:type="dxa"/>
              <w:left w:w="108" w:type="dxa"/>
              <w:bottom w:w="0" w:type="dxa"/>
              <w:right w:w="108" w:type="dxa"/>
            </w:tcMar>
          </w:tcPr>
          <w:p w14:paraId="4D075DE0" w14:textId="3286B3DF" w:rsidR="00011D29" w:rsidRPr="00217CA0" w:rsidRDefault="008F5040" w:rsidP="00A006A3">
            <w:pPr>
              <w:jc w:val="center"/>
              <w:rPr>
                <w:szCs w:val="24"/>
              </w:rPr>
            </w:pPr>
            <w:r w:rsidRPr="008F5040">
              <w:t>£65,400</w:t>
            </w:r>
          </w:p>
        </w:tc>
        <w:tc>
          <w:tcPr>
            <w:tcW w:w="4110" w:type="dxa"/>
            <w:tcMar>
              <w:top w:w="0" w:type="dxa"/>
              <w:left w:w="108" w:type="dxa"/>
              <w:bottom w:w="0" w:type="dxa"/>
              <w:right w:w="108" w:type="dxa"/>
            </w:tcMar>
          </w:tcPr>
          <w:p w14:paraId="2EA92FA5" w14:textId="099A1013" w:rsidR="00011D29" w:rsidRPr="00217CA0" w:rsidRDefault="003F40C4" w:rsidP="003F40C4">
            <w:pPr>
              <w:ind w:left="-15" w:right="33"/>
              <w:jc w:val="center"/>
              <w:rPr>
                <w:szCs w:val="24"/>
              </w:rPr>
            </w:pPr>
            <w:r w:rsidRPr="003F40C4">
              <w:t>£29,141</w:t>
            </w:r>
          </w:p>
        </w:tc>
      </w:tr>
      <w:tr w:rsidR="00011D29" w:rsidRPr="00217CA0" w14:paraId="065DBEA2" w14:textId="77777777" w:rsidTr="00934A26">
        <w:trPr>
          <w:trHeight w:val="309"/>
        </w:trPr>
        <w:tc>
          <w:tcPr>
            <w:tcW w:w="3109" w:type="dxa"/>
            <w:tcMar>
              <w:top w:w="0" w:type="dxa"/>
              <w:left w:w="108" w:type="dxa"/>
              <w:bottom w:w="0" w:type="dxa"/>
              <w:right w:w="108" w:type="dxa"/>
            </w:tcMar>
            <w:hideMark/>
          </w:tcPr>
          <w:p w14:paraId="257CEBBB" w14:textId="77777777" w:rsidR="00011D29" w:rsidRPr="00217CA0" w:rsidRDefault="00011D29" w:rsidP="00A006A3">
            <w:pPr>
              <w:ind w:left="22"/>
              <w:rPr>
                <w:rFonts w:ascii="Calibri" w:hAnsi="Calibri"/>
                <w:szCs w:val="24"/>
              </w:rPr>
            </w:pPr>
            <w:r>
              <w:t xml:space="preserve">Public open space, sport &amp; recreation </w:t>
            </w:r>
          </w:p>
        </w:tc>
        <w:tc>
          <w:tcPr>
            <w:tcW w:w="1276" w:type="dxa"/>
            <w:tcMar>
              <w:top w:w="0" w:type="dxa"/>
              <w:left w:w="108" w:type="dxa"/>
              <w:bottom w:w="0" w:type="dxa"/>
              <w:right w:w="108" w:type="dxa"/>
            </w:tcMar>
          </w:tcPr>
          <w:p w14:paraId="446C1C4E" w14:textId="60F78838" w:rsidR="00011D29" w:rsidRPr="00217CA0" w:rsidRDefault="00CB06C6" w:rsidP="00A006A3">
            <w:pPr>
              <w:jc w:val="center"/>
              <w:rPr>
                <w:rFonts w:ascii="Calibri" w:hAnsi="Calibri" w:cs="Calibri"/>
                <w:szCs w:val="24"/>
              </w:rPr>
            </w:pPr>
            <w:r w:rsidRPr="00CB06C6">
              <w:t>£121,805</w:t>
            </w:r>
          </w:p>
        </w:tc>
        <w:tc>
          <w:tcPr>
            <w:tcW w:w="4110" w:type="dxa"/>
            <w:tcMar>
              <w:top w:w="0" w:type="dxa"/>
              <w:left w:w="108" w:type="dxa"/>
              <w:bottom w:w="0" w:type="dxa"/>
              <w:right w:w="108" w:type="dxa"/>
            </w:tcMar>
          </w:tcPr>
          <w:p w14:paraId="0286BF18" w14:textId="0ECCBDEE" w:rsidR="00011D29" w:rsidRPr="00217CA0" w:rsidRDefault="009D2219" w:rsidP="003F40C4">
            <w:pPr>
              <w:jc w:val="center"/>
              <w:rPr>
                <w:szCs w:val="24"/>
              </w:rPr>
            </w:pPr>
            <w:r w:rsidRPr="009D2219">
              <w:t>£27,952</w:t>
            </w:r>
          </w:p>
        </w:tc>
      </w:tr>
      <w:tr w:rsidR="00011D29" w:rsidRPr="00217CA0" w14:paraId="39A1DDDA" w14:textId="77777777" w:rsidTr="00934A26">
        <w:trPr>
          <w:trHeight w:val="309"/>
        </w:trPr>
        <w:tc>
          <w:tcPr>
            <w:tcW w:w="3109" w:type="dxa"/>
            <w:tcMar>
              <w:top w:w="0" w:type="dxa"/>
              <w:left w:w="108" w:type="dxa"/>
              <w:bottom w:w="0" w:type="dxa"/>
              <w:right w:w="108" w:type="dxa"/>
            </w:tcMar>
          </w:tcPr>
          <w:p w14:paraId="55670832" w14:textId="77777777" w:rsidR="00011D29" w:rsidRPr="00217CA0" w:rsidRDefault="00011D29" w:rsidP="00A006A3">
            <w:pPr>
              <w:ind w:left="22"/>
              <w:rPr>
                <w:szCs w:val="24"/>
              </w:rPr>
            </w:pPr>
            <w:r>
              <w:t xml:space="preserve">Transport </w:t>
            </w:r>
          </w:p>
        </w:tc>
        <w:tc>
          <w:tcPr>
            <w:tcW w:w="1276" w:type="dxa"/>
            <w:tcMar>
              <w:top w:w="0" w:type="dxa"/>
              <w:left w:w="108" w:type="dxa"/>
              <w:bottom w:w="0" w:type="dxa"/>
              <w:right w:w="108" w:type="dxa"/>
            </w:tcMar>
          </w:tcPr>
          <w:p w14:paraId="6CB25199" w14:textId="77777777" w:rsidR="00011D29" w:rsidRPr="00217CA0" w:rsidRDefault="00011D29" w:rsidP="00A006A3">
            <w:pPr>
              <w:jc w:val="center"/>
              <w:rPr>
                <w:szCs w:val="24"/>
              </w:rPr>
            </w:pPr>
            <w:r>
              <w:t>£0</w:t>
            </w:r>
          </w:p>
        </w:tc>
        <w:tc>
          <w:tcPr>
            <w:tcW w:w="4110" w:type="dxa"/>
            <w:tcMar>
              <w:top w:w="0" w:type="dxa"/>
              <w:left w:w="108" w:type="dxa"/>
              <w:bottom w:w="0" w:type="dxa"/>
              <w:right w:w="108" w:type="dxa"/>
            </w:tcMar>
          </w:tcPr>
          <w:p w14:paraId="0FF15DA3" w14:textId="77777777" w:rsidR="00011D29" w:rsidRPr="00217CA0" w:rsidRDefault="00011D29" w:rsidP="003F40C4">
            <w:pPr>
              <w:ind w:right="33"/>
              <w:jc w:val="center"/>
              <w:rPr>
                <w:szCs w:val="24"/>
              </w:rPr>
            </w:pPr>
            <w:r>
              <w:t>£0</w:t>
            </w:r>
          </w:p>
        </w:tc>
      </w:tr>
      <w:tr w:rsidR="00011D29" w:rsidRPr="00217CA0" w14:paraId="61E562E6" w14:textId="77777777" w:rsidTr="00934A26">
        <w:trPr>
          <w:trHeight w:val="309"/>
        </w:trPr>
        <w:tc>
          <w:tcPr>
            <w:tcW w:w="3109" w:type="dxa"/>
            <w:tcMar>
              <w:top w:w="0" w:type="dxa"/>
              <w:left w:w="108" w:type="dxa"/>
              <w:bottom w:w="0" w:type="dxa"/>
              <w:right w:w="108" w:type="dxa"/>
            </w:tcMar>
          </w:tcPr>
          <w:p w14:paraId="11C8D169" w14:textId="7618C7EF" w:rsidR="00011D29" w:rsidRPr="00217CA0" w:rsidRDefault="00011D29" w:rsidP="00A006A3">
            <w:pPr>
              <w:ind w:left="22" w:right="-105"/>
              <w:rPr>
                <w:szCs w:val="24"/>
              </w:rPr>
            </w:pPr>
            <w:r>
              <w:t xml:space="preserve">New Forest SPA </w:t>
            </w:r>
            <w:r w:rsidR="00A7738D">
              <w:t>habitat</w:t>
            </w:r>
            <w:r>
              <w:t xml:space="preserve"> mitigation </w:t>
            </w:r>
          </w:p>
        </w:tc>
        <w:tc>
          <w:tcPr>
            <w:tcW w:w="1276" w:type="dxa"/>
            <w:tcMar>
              <w:top w:w="0" w:type="dxa"/>
              <w:left w:w="108" w:type="dxa"/>
              <w:bottom w:w="0" w:type="dxa"/>
              <w:right w:w="108" w:type="dxa"/>
            </w:tcMar>
          </w:tcPr>
          <w:p w14:paraId="60165B1F" w14:textId="4FC69846" w:rsidR="00011D29" w:rsidRPr="00217CA0" w:rsidRDefault="00A7738D" w:rsidP="00A006A3">
            <w:pPr>
              <w:jc w:val="center"/>
              <w:rPr>
                <w:szCs w:val="24"/>
              </w:rPr>
            </w:pPr>
            <w:r w:rsidRPr="00A7738D">
              <w:t>£610,713</w:t>
            </w:r>
          </w:p>
        </w:tc>
        <w:tc>
          <w:tcPr>
            <w:tcW w:w="4110" w:type="dxa"/>
            <w:tcMar>
              <w:top w:w="0" w:type="dxa"/>
              <w:left w:w="108" w:type="dxa"/>
              <w:bottom w:w="0" w:type="dxa"/>
              <w:right w:w="108" w:type="dxa"/>
            </w:tcMar>
          </w:tcPr>
          <w:p w14:paraId="54B29405" w14:textId="43A7CF7C" w:rsidR="00011D29" w:rsidRPr="00217CA0" w:rsidRDefault="004F682F" w:rsidP="003F40C4">
            <w:pPr>
              <w:ind w:left="30" w:right="33"/>
              <w:jc w:val="center"/>
              <w:rPr>
                <w:szCs w:val="24"/>
              </w:rPr>
            </w:pPr>
            <w:r w:rsidRPr="004F682F">
              <w:t>£59,875</w:t>
            </w:r>
          </w:p>
        </w:tc>
      </w:tr>
      <w:tr w:rsidR="00011D29" w:rsidRPr="00217CA0" w14:paraId="0BA154FE" w14:textId="77777777" w:rsidTr="00934A26">
        <w:trPr>
          <w:trHeight w:val="309"/>
        </w:trPr>
        <w:tc>
          <w:tcPr>
            <w:tcW w:w="3109" w:type="dxa"/>
            <w:tcMar>
              <w:top w:w="0" w:type="dxa"/>
              <w:left w:w="108" w:type="dxa"/>
              <w:bottom w:w="0" w:type="dxa"/>
              <w:right w:w="108" w:type="dxa"/>
            </w:tcMar>
          </w:tcPr>
          <w:p w14:paraId="58A91220" w14:textId="456937F3" w:rsidR="00011D29" w:rsidRPr="00934A26" w:rsidRDefault="00011D29" w:rsidP="00934A26">
            <w:r>
              <w:t xml:space="preserve">Solent SPA </w:t>
            </w:r>
            <w:r w:rsidR="00A7738D">
              <w:t>habitat</w:t>
            </w:r>
            <w:r>
              <w:t xml:space="preserve"> mitigation </w:t>
            </w:r>
          </w:p>
        </w:tc>
        <w:tc>
          <w:tcPr>
            <w:tcW w:w="1276" w:type="dxa"/>
            <w:tcMar>
              <w:top w:w="0" w:type="dxa"/>
              <w:left w:w="108" w:type="dxa"/>
              <w:bottom w:w="0" w:type="dxa"/>
              <w:right w:w="108" w:type="dxa"/>
            </w:tcMar>
          </w:tcPr>
          <w:p w14:paraId="69293E13" w14:textId="16D18E0B" w:rsidR="00011D29" w:rsidRPr="00217CA0" w:rsidRDefault="00152829" w:rsidP="00A006A3">
            <w:pPr>
              <w:jc w:val="center"/>
              <w:rPr>
                <w:szCs w:val="24"/>
              </w:rPr>
            </w:pPr>
            <w:r w:rsidRPr="00152829">
              <w:t>£48,743</w:t>
            </w:r>
          </w:p>
        </w:tc>
        <w:tc>
          <w:tcPr>
            <w:tcW w:w="4110" w:type="dxa"/>
            <w:tcMar>
              <w:top w:w="0" w:type="dxa"/>
              <w:left w:w="108" w:type="dxa"/>
              <w:bottom w:w="0" w:type="dxa"/>
              <w:right w:w="108" w:type="dxa"/>
            </w:tcMar>
          </w:tcPr>
          <w:p w14:paraId="6E3F40AE" w14:textId="6A5641A0" w:rsidR="00011D29" w:rsidRPr="00217CA0" w:rsidRDefault="004F682F" w:rsidP="00BD5FF8">
            <w:pPr>
              <w:ind w:left="30" w:right="33"/>
              <w:jc w:val="center"/>
              <w:rPr>
                <w:szCs w:val="24"/>
              </w:rPr>
            </w:pPr>
            <w:r w:rsidRPr="004F682F">
              <w:t>£48,743 transferred to the Bird Aware Solent Mitigation Scheme</w:t>
            </w:r>
          </w:p>
        </w:tc>
      </w:tr>
      <w:tr w:rsidR="00011D29" w:rsidRPr="00217CA0" w14:paraId="250AB910" w14:textId="77777777" w:rsidTr="00934A26">
        <w:trPr>
          <w:trHeight w:val="309"/>
        </w:trPr>
        <w:tc>
          <w:tcPr>
            <w:tcW w:w="3109" w:type="dxa"/>
            <w:tcMar>
              <w:top w:w="0" w:type="dxa"/>
              <w:left w:w="108" w:type="dxa"/>
              <w:bottom w:w="0" w:type="dxa"/>
              <w:right w:w="108" w:type="dxa"/>
            </w:tcMar>
          </w:tcPr>
          <w:p w14:paraId="47463877" w14:textId="77777777" w:rsidR="00011D29" w:rsidRPr="00217CA0" w:rsidRDefault="00011D29" w:rsidP="00A006A3">
            <w:pPr>
              <w:ind w:left="22" w:right="179"/>
              <w:jc w:val="right"/>
              <w:rPr>
                <w:szCs w:val="24"/>
              </w:rPr>
            </w:pPr>
            <w:r w:rsidRPr="001D41E2">
              <w:rPr>
                <w:b/>
                <w:bCs/>
              </w:rPr>
              <w:t xml:space="preserve">Totals </w:t>
            </w:r>
          </w:p>
        </w:tc>
        <w:tc>
          <w:tcPr>
            <w:tcW w:w="1276" w:type="dxa"/>
            <w:tcMar>
              <w:top w:w="0" w:type="dxa"/>
              <w:left w:w="108" w:type="dxa"/>
              <w:bottom w:w="0" w:type="dxa"/>
              <w:right w:w="108" w:type="dxa"/>
            </w:tcMar>
          </w:tcPr>
          <w:p w14:paraId="6BF0FCCD" w14:textId="0D8A995C" w:rsidR="00011D29" w:rsidRPr="00217CA0" w:rsidRDefault="00172D94" w:rsidP="00A006A3">
            <w:pPr>
              <w:jc w:val="center"/>
              <w:rPr>
                <w:b/>
                <w:bCs/>
                <w:szCs w:val="24"/>
              </w:rPr>
            </w:pPr>
            <w:r w:rsidRPr="00172D94">
              <w:rPr>
                <w:b/>
                <w:bCs/>
                <w:szCs w:val="24"/>
              </w:rPr>
              <w:t>£846,661</w:t>
            </w:r>
          </w:p>
        </w:tc>
        <w:tc>
          <w:tcPr>
            <w:tcW w:w="4110" w:type="dxa"/>
            <w:tcMar>
              <w:top w:w="0" w:type="dxa"/>
              <w:left w:w="108" w:type="dxa"/>
              <w:bottom w:w="0" w:type="dxa"/>
              <w:right w:w="108" w:type="dxa"/>
            </w:tcMar>
          </w:tcPr>
          <w:p w14:paraId="171F40EE" w14:textId="53B5116B" w:rsidR="00011D29" w:rsidRPr="00217CA0" w:rsidRDefault="00BD5FF8" w:rsidP="00BD5FF8">
            <w:pPr>
              <w:ind w:left="30" w:right="33"/>
              <w:jc w:val="center"/>
              <w:rPr>
                <w:b/>
                <w:bCs/>
                <w:szCs w:val="24"/>
              </w:rPr>
            </w:pPr>
            <w:r w:rsidRPr="00BD5FF8">
              <w:rPr>
                <w:b/>
                <w:bCs/>
                <w:szCs w:val="24"/>
              </w:rPr>
              <w:t>£165,711</w:t>
            </w:r>
          </w:p>
        </w:tc>
      </w:tr>
    </w:tbl>
    <w:p w14:paraId="37667ABB" w14:textId="77777777" w:rsidR="00011D29" w:rsidRPr="00217CA0" w:rsidRDefault="00011D29" w:rsidP="00011D29">
      <w:pPr>
        <w:pStyle w:val="ListParagraph"/>
      </w:pPr>
    </w:p>
    <w:p w14:paraId="717F3AB0" w14:textId="25A8B6C7" w:rsidR="00011D29" w:rsidRDefault="00011D29" w:rsidP="00011D29">
      <w:pPr>
        <w:pStyle w:val="ListParagraph"/>
        <w:numPr>
          <w:ilvl w:val="1"/>
          <w:numId w:val="12"/>
        </w:numPr>
        <w:ind w:left="567" w:right="-24" w:hanging="567"/>
      </w:pPr>
      <w:r w:rsidRPr="008B5A5D">
        <w:t>In</w:t>
      </w:r>
      <w:r>
        <w:t xml:space="preserve"> </w:t>
      </w:r>
      <w:r w:rsidRPr="00B94366">
        <w:t>the</w:t>
      </w:r>
      <w:r>
        <w:t xml:space="preserve"> 202</w:t>
      </w:r>
      <w:r w:rsidR="00544E5C">
        <w:t>4</w:t>
      </w:r>
      <w:r>
        <w:t xml:space="preserve"> – 202</w:t>
      </w:r>
      <w:r w:rsidR="00544E5C">
        <w:t>5</w:t>
      </w:r>
      <w:r>
        <w:t xml:space="preserve"> monitoring year</w:t>
      </w:r>
      <w:r w:rsidR="00544E5C">
        <w:t xml:space="preserve"> </w:t>
      </w:r>
      <w:r w:rsidR="00544E5C" w:rsidRPr="00544E5C">
        <w:t>£65,400 in financial contributions were received towards affordable housing provision. This was from the redevelopment of the former Cloud Hotel site in Brockenhurst, with the financial contribution made in lieu of on-site provision (in accordance with the adopted New Forest National Park Local Plan, 2019)</w:t>
      </w:r>
      <w:r w:rsidR="00544E5C">
        <w:t xml:space="preserve">. Additionally, </w:t>
      </w:r>
      <w:r>
        <w:t xml:space="preserve">no financial contributions were received towards transport. This reflects the small-scale nature of new development in the National Park over the monitoring period. </w:t>
      </w:r>
    </w:p>
    <w:p w14:paraId="38FB5B36" w14:textId="77777777" w:rsidR="00011D29" w:rsidRPr="00217CA0" w:rsidRDefault="00011D29" w:rsidP="00011D29">
      <w:pPr>
        <w:rPr>
          <w:color w:val="1F497D"/>
        </w:rPr>
      </w:pPr>
    </w:p>
    <w:p w14:paraId="1DE70867" w14:textId="7EF1F363" w:rsidR="00011D29" w:rsidRPr="001B5EF5" w:rsidRDefault="00011D29" w:rsidP="00011D29">
      <w:pPr>
        <w:pStyle w:val="ListParagraph"/>
        <w:numPr>
          <w:ilvl w:val="1"/>
          <w:numId w:val="12"/>
        </w:numPr>
        <w:ind w:left="567" w:hanging="567"/>
        <w:rPr>
          <w:color w:val="1F497D"/>
        </w:rPr>
      </w:pPr>
      <w:r w:rsidRPr="008B5A5D">
        <w:t>The</w:t>
      </w:r>
      <w:r w:rsidRPr="00217CA0">
        <w:t xml:space="preserve"> </w:t>
      </w:r>
      <w:r>
        <w:t>Authority continues to negotiate contributions towards habitat mitigation measures focused on both the New Forest and Solent Coast Natura 2000 sites. As these contributions are required to ensure legal compliance, they are sought from all net new dwellings and other forms of visitor accommodation (e.g. hotel extensions) permitted within the respective ‘zones of influence’ of the internationally designated sites (unlike other forms of contributions where various site size thresholds apply). During 202</w:t>
      </w:r>
      <w:r w:rsidR="00727FA8">
        <w:t>4</w:t>
      </w:r>
      <w:r>
        <w:t xml:space="preserve"> – 202</w:t>
      </w:r>
      <w:r w:rsidR="00727FA8">
        <w:t>5</w:t>
      </w:r>
      <w:r>
        <w:t xml:space="preserve">, habitat mitigation contributions towards the New Forest’s internationally designated sites were also sought from seasonal campsite uses under the requirements of the Habitats Regulations. These contributions are required to mitigate in-combination recreational impacts arising from increase overnight stays close to the designated sites. </w:t>
      </w:r>
    </w:p>
    <w:p w14:paraId="67FC3081" w14:textId="77777777" w:rsidR="001B5EF5" w:rsidRPr="001B5EF5" w:rsidRDefault="001B5EF5" w:rsidP="001B5EF5">
      <w:pPr>
        <w:pStyle w:val="ListParagraph"/>
        <w:rPr>
          <w:color w:val="1F497D"/>
        </w:rPr>
      </w:pPr>
    </w:p>
    <w:p w14:paraId="4FC8DE12" w14:textId="5E0109A5" w:rsidR="001B5EF5" w:rsidRPr="001B5EF5" w:rsidRDefault="001B5EF5" w:rsidP="00011D29">
      <w:pPr>
        <w:pStyle w:val="ListParagraph"/>
        <w:numPr>
          <w:ilvl w:val="1"/>
          <w:numId w:val="12"/>
        </w:numPr>
        <w:ind w:left="567" w:hanging="567"/>
      </w:pPr>
      <w:r w:rsidRPr="001B5EF5">
        <w:t xml:space="preserve">In </w:t>
      </w:r>
      <w:r w:rsidRPr="008B5A5D">
        <w:t>addition</w:t>
      </w:r>
      <w:r w:rsidRPr="001B5EF5">
        <w:t xml:space="preserve"> to the campsite payments, financial contributions </w:t>
      </w:r>
      <w:r w:rsidR="00D7072C">
        <w:t xml:space="preserve">for habitat mitigation </w:t>
      </w:r>
      <w:r w:rsidRPr="001B5EF5">
        <w:t xml:space="preserve">were received from the redevelopment of the former Lyndhurst Park Hotel (79 dwellings) </w:t>
      </w:r>
      <w:proofErr w:type="gramStart"/>
      <w:r w:rsidRPr="001B5EF5">
        <w:t>and also</w:t>
      </w:r>
      <w:proofErr w:type="gramEnd"/>
      <w:r w:rsidRPr="001B5EF5">
        <w:t xml:space="preserve"> the development of the adopted New Forest National Park Local Plan site allocation at Whartons Lane, Ashurst (62 dwellings). Given the scale of the developments, the developer contributions were proportionately significant and totalled over £500,000.</w:t>
      </w:r>
    </w:p>
    <w:p w14:paraId="433A0C78" w14:textId="77777777" w:rsidR="00011D29" w:rsidRPr="00217CA0" w:rsidRDefault="00011D29" w:rsidP="00011D29">
      <w:pPr>
        <w:pStyle w:val="ListParagraph"/>
        <w:ind w:left="567" w:hanging="567"/>
      </w:pPr>
    </w:p>
    <w:p w14:paraId="24FD2226" w14:textId="77777777" w:rsidR="00011D29" w:rsidRPr="00217CA0" w:rsidRDefault="00011D29" w:rsidP="00011D29">
      <w:pPr>
        <w:pStyle w:val="ListParagraph"/>
        <w:numPr>
          <w:ilvl w:val="1"/>
          <w:numId w:val="12"/>
        </w:numPr>
        <w:ind w:left="567" w:hanging="567"/>
        <w:rPr>
          <w:color w:val="1F497D"/>
        </w:rPr>
      </w:pPr>
      <w:r w:rsidRPr="008B5A5D">
        <w:t>Developer</w:t>
      </w:r>
      <w:r w:rsidRPr="00217CA0">
        <w:t xml:space="preserve"> contributions towards the New Forest SPA, are used to implement a range of mitigation measures. The Authority’s New Forest Habitat Mitigation Scheme is overseen by a Steering Group comprising officers from Natural England, RSPB, the Hampshire &amp; Isle of Wight Wildlife Trust and New Forest District Council which meets annually.   </w:t>
      </w:r>
    </w:p>
    <w:p w14:paraId="1E13DB62" w14:textId="77777777" w:rsidR="00011D29" w:rsidRPr="00217CA0" w:rsidRDefault="00011D29" w:rsidP="00011D29">
      <w:pPr>
        <w:pStyle w:val="ListParagraph"/>
        <w:ind w:left="567" w:hanging="567"/>
        <w:rPr>
          <w:color w:val="1F497D"/>
        </w:rPr>
      </w:pPr>
    </w:p>
    <w:p w14:paraId="2F6B0168" w14:textId="1482A253" w:rsidR="00011D29" w:rsidRPr="004974A5" w:rsidRDefault="00127CD7" w:rsidP="00011D29">
      <w:pPr>
        <w:pStyle w:val="ListParagraph"/>
        <w:numPr>
          <w:ilvl w:val="1"/>
          <w:numId w:val="12"/>
        </w:numPr>
        <w:ind w:left="567" w:hanging="567"/>
        <w:rPr>
          <w:color w:val="1F497D"/>
        </w:rPr>
      </w:pPr>
      <w:r w:rsidRPr="008B5A5D">
        <w:t>During</w:t>
      </w:r>
      <w:r w:rsidRPr="00127CD7">
        <w:t xml:space="preserve"> 2024 – 2025 a total of £59,874.80 was spent on mitigation measures</w:t>
      </w:r>
      <w:r w:rsidR="003F6B50">
        <w:t xml:space="preserve">, including seasonal rangers, </w:t>
      </w:r>
      <w:r w:rsidR="007558DF">
        <w:t>communications material</w:t>
      </w:r>
      <w:r w:rsidR="00FB30D7">
        <w:t xml:space="preserve"> and access improvements</w:t>
      </w:r>
      <w:r w:rsidRPr="00127CD7">
        <w:t xml:space="preserve">. The Authority’s Habitat Mitigation Scheme Annual Implementation Report for 2025 sets out </w:t>
      </w:r>
      <w:r w:rsidR="00FB30D7">
        <w:t xml:space="preserve">more </w:t>
      </w:r>
      <w:r w:rsidRPr="00127CD7">
        <w:t>details of all the expenditure and the developer contributions received.</w:t>
      </w:r>
    </w:p>
    <w:p w14:paraId="604E5ED1" w14:textId="77777777" w:rsidR="004974A5" w:rsidRPr="004974A5" w:rsidRDefault="004974A5" w:rsidP="004974A5">
      <w:pPr>
        <w:rPr>
          <w:color w:val="1F497D"/>
        </w:rPr>
      </w:pPr>
    </w:p>
    <w:p w14:paraId="3721B40B" w14:textId="77777777" w:rsidR="00011D29" w:rsidRPr="007449C8" w:rsidRDefault="00011D29" w:rsidP="00011D29">
      <w:pPr>
        <w:pStyle w:val="ListParagraph"/>
        <w:numPr>
          <w:ilvl w:val="1"/>
          <w:numId w:val="12"/>
        </w:numPr>
        <w:ind w:left="567" w:hanging="567"/>
        <w:rPr>
          <w:color w:val="1F497D"/>
        </w:rPr>
      </w:pPr>
      <w:r w:rsidRPr="008B5A5D">
        <w:t>Contributions</w:t>
      </w:r>
      <w:r w:rsidRPr="00217CA0">
        <w:t xml:space="preserve"> </w:t>
      </w:r>
      <w:r>
        <w:t xml:space="preserve">from development within 5.6km of the Solent habitats are pooled across the Solent to be spent on agreed measures under the Bird Aware Project. These contributions are received by the Authority but are them transferred to Bird Aware Solent that implement a range of measures to mitigate the impacts on the protected birds and their habitats on the coast. Details of its mitigation strategy, and the mitigation measures being implemented, are set out on the </w:t>
      </w:r>
      <w:hyperlink r:id="rId24" w:history="1">
        <w:r w:rsidRPr="001D41E2">
          <w:rPr>
            <w:rStyle w:val="Hyperlink"/>
          </w:rPr>
          <w:t>Bird Aware website</w:t>
        </w:r>
      </w:hyperlink>
      <w:r>
        <w:t xml:space="preserve">. </w:t>
      </w:r>
    </w:p>
    <w:p w14:paraId="2304EBDB" w14:textId="77777777" w:rsidR="00011D29" w:rsidRPr="00217CA0" w:rsidRDefault="00011D29" w:rsidP="00011D29">
      <w:pPr>
        <w:pStyle w:val="ListParagraph"/>
        <w:ind w:left="567" w:hanging="567"/>
      </w:pPr>
    </w:p>
    <w:p w14:paraId="0ED8EC94" w14:textId="0AAF37FA" w:rsidR="00011D29" w:rsidRPr="00580EF8" w:rsidRDefault="00011D29" w:rsidP="00011D29">
      <w:pPr>
        <w:pStyle w:val="ListParagraph"/>
        <w:numPr>
          <w:ilvl w:val="1"/>
          <w:numId w:val="12"/>
        </w:numPr>
        <w:ind w:left="567" w:hanging="567"/>
        <w:rPr>
          <w:color w:val="1F497D"/>
        </w:rPr>
      </w:pPr>
      <w:r w:rsidRPr="008B5A5D">
        <w:t>The</w:t>
      </w:r>
      <w:r w:rsidRPr="00217CA0">
        <w:t xml:space="preserve"> </w:t>
      </w:r>
      <w:r w:rsidRPr="00B94366">
        <w:t>key</w:t>
      </w:r>
      <w:r>
        <w:t xml:space="preserve"> mitigation measure funded is a team of full time and seasonal rangers who patrol the Solent coast, including the National Park’s coastline. The </w:t>
      </w:r>
      <w:r>
        <w:lastRenderedPageBreak/>
        <w:t xml:space="preserve">rangers aim to reduce bird disturbance by helping people to better understand the importance of the over-wintering birds and their vulnerability to disturbance. Funds are also spent on associated monitoring, marketing and communications. Further details can be found in </w:t>
      </w:r>
      <w:r w:rsidR="00DC06C1">
        <w:t>t</w:t>
      </w:r>
      <w:r w:rsidR="00DC06C1" w:rsidRPr="00DC06C1">
        <w:t xml:space="preserve">he Solent Recreation Mitigation Strategy </w:t>
      </w:r>
      <w:hyperlink r:id="rId25" w:history="1">
        <w:r w:rsidR="00DC06C1" w:rsidRPr="00354FCD">
          <w:rPr>
            <w:rStyle w:val="Hyperlink"/>
            <w:rFonts w:cs="Arial"/>
          </w:rPr>
          <w:t>annual reports</w:t>
        </w:r>
      </w:hyperlink>
      <w:r w:rsidR="00DC06C1">
        <w:t>.</w:t>
      </w:r>
    </w:p>
    <w:p w14:paraId="32F8B033" w14:textId="77777777" w:rsidR="00011D29" w:rsidRPr="00217CA0" w:rsidRDefault="00011D29" w:rsidP="00011D29">
      <w:pPr>
        <w:pStyle w:val="ListParagraph"/>
        <w:ind w:left="567" w:hanging="567"/>
        <w:rPr>
          <w:color w:val="1F497D"/>
        </w:rPr>
      </w:pPr>
    </w:p>
    <w:p w14:paraId="098C647B" w14:textId="77777777" w:rsidR="00011D29" w:rsidRPr="00217CA0" w:rsidRDefault="00011D29" w:rsidP="00011D29">
      <w:pPr>
        <w:pStyle w:val="ListParagraph"/>
        <w:numPr>
          <w:ilvl w:val="1"/>
          <w:numId w:val="12"/>
        </w:numPr>
        <w:ind w:left="567" w:hanging="567"/>
      </w:pPr>
      <w:r w:rsidRPr="008B5A5D">
        <w:t>More</w:t>
      </w:r>
      <w:r w:rsidRPr="00217CA0">
        <w:t xml:space="preserve"> details of the developer contributions received and spent can be found in the Authority’s </w:t>
      </w:r>
      <w:hyperlink r:id="rId26" w:history="1">
        <w:r w:rsidRPr="00217CA0">
          <w:rPr>
            <w:rStyle w:val="Hyperlink"/>
          </w:rPr>
          <w:t>Infrastructure Funding Statement</w:t>
        </w:r>
      </w:hyperlink>
      <w:r w:rsidRPr="00217CA0">
        <w:t xml:space="preserve">, published </w:t>
      </w:r>
      <w:r>
        <w:t xml:space="preserve">annually </w:t>
      </w:r>
      <w:r w:rsidRPr="00217CA0">
        <w:t xml:space="preserve">on the Authority’s website </w:t>
      </w:r>
      <w:r>
        <w:t>each</w:t>
      </w:r>
      <w:r w:rsidRPr="00217CA0">
        <w:t xml:space="preserve"> December.</w:t>
      </w:r>
    </w:p>
    <w:p w14:paraId="69F76EE4" w14:textId="77777777" w:rsidR="00011D29" w:rsidRPr="00217CA0" w:rsidRDefault="00011D29" w:rsidP="00011D29">
      <w:pPr>
        <w:pStyle w:val="ListParagraph"/>
        <w:ind w:left="0"/>
      </w:pPr>
    </w:p>
    <w:p w14:paraId="5466011C" w14:textId="77777777" w:rsidR="00011D29" w:rsidRPr="00217CA0" w:rsidRDefault="00011D29" w:rsidP="00011D29">
      <w:pPr>
        <w:pStyle w:val="Heading3"/>
        <w:spacing w:before="0"/>
        <w:rPr>
          <w:color w:val="1F497D"/>
        </w:rPr>
      </w:pPr>
      <w:r w:rsidRPr="00C4479D">
        <w:t>Neighbourhood</w:t>
      </w:r>
      <w:r w:rsidRPr="00217CA0">
        <w:t xml:space="preserve"> Plans</w:t>
      </w:r>
    </w:p>
    <w:p w14:paraId="684578AB" w14:textId="77777777" w:rsidR="00011D29" w:rsidRPr="00217CA0" w:rsidRDefault="00011D29" w:rsidP="00011D29">
      <w:pPr>
        <w:pStyle w:val="ListParagraph"/>
        <w:rPr>
          <w:color w:val="1F497D"/>
        </w:rPr>
      </w:pPr>
    </w:p>
    <w:bookmarkEnd w:id="10"/>
    <w:p w14:paraId="4C332EBB" w14:textId="318338A2" w:rsidR="00011D29" w:rsidRPr="00217CA0" w:rsidRDefault="00011D29" w:rsidP="00011D29">
      <w:pPr>
        <w:pStyle w:val="ListParagraph"/>
        <w:numPr>
          <w:ilvl w:val="1"/>
          <w:numId w:val="12"/>
        </w:numPr>
        <w:ind w:left="567" w:hanging="567"/>
        <w:rPr>
          <w:color w:val="1F497D"/>
        </w:rPr>
      </w:pPr>
      <w:r w:rsidRPr="008B5A5D">
        <w:t>There</w:t>
      </w:r>
      <w:r w:rsidRPr="00217CA0">
        <w:t xml:space="preserve"> are </w:t>
      </w:r>
      <w:r w:rsidR="00667C5B">
        <w:t>nine</w:t>
      </w:r>
      <w:r w:rsidRPr="00217CA0">
        <w:t xml:space="preserve"> Neighbourhood Areas that have been formally designated by the Authority. These comprise </w:t>
      </w:r>
      <w:r w:rsidR="002A347B">
        <w:t xml:space="preserve">Fawley Parish (area designated in February 2024), </w:t>
      </w:r>
      <w:r w:rsidRPr="00217CA0">
        <w:t>Ringwood Town (area designated in February 2021), Fordingbridge Town (area designated in April 2020), Wellow Parish (area designated in June 2016), Hythe and Dibden Parish (December 2015)</w:t>
      </w:r>
      <w:r w:rsidR="00D679D1">
        <w:t xml:space="preserve">, </w:t>
      </w:r>
      <w:r w:rsidR="008D02DF">
        <w:t xml:space="preserve"> </w:t>
      </w:r>
      <w:r w:rsidR="00E557B5" w:rsidRPr="00217CA0">
        <w:t>Lymington and Pennington Town (September 2015),</w:t>
      </w:r>
      <w:r w:rsidR="00E557B5">
        <w:t xml:space="preserve"> </w:t>
      </w:r>
      <w:r w:rsidR="00D679D1" w:rsidRPr="00217CA0">
        <w:t xml:space="preserve">New Milton </w:t>
      </w:r>
      <w:r w:rsidR="00D679D1">
        <w:t xml:space="preserve">Town </w:t>
      </w:r>
      <w:r w:rsidR="00D679D1" w:rsidRPr="00217CA0">
        <w:t>(February 2015)</w:t>
      </w:r>
      <w:r w:rsidR="00D679D1">
        <w:t xml:space="preserve">, </w:t>
      </w:r>
      <w:r w:rsidR="008D02DF" w:rsidRPr="00217CA0">
        <w:t xml:space="preserve">Totton and Eling </w:t>
      </w:r>
      <w:r w:rsidR="00D679D1">
        <w:t xml:space="preserve">Town </w:t>
      </w:r>
      <w:r w:rsidR="008D02DF" w:rsidRPr="00217CA0">
        <w:t>(area designated in November 2014)</w:t>
      </w:r>
      <w:r w:rsidR="008D02DF">
        <w:t xml:space="preserve"> and</w:t>
      </w:r>
      <w:r w:rsidRPr="00217CA0">
        <w:t xml:space="preserve"> </w:t>
      </w:r>
      <w:r w:rsidR="00F315C6" w:rsidRPr="00217CA0">
        <w:t xml:space="preserve">Milford-on-Sea </w:t>
      </w:r>
      <w:r w:rsidR="00D679D1">
        <w:t xml:space="preserve">Parish </w:t>
      </w:r>
      <w:r w:rsidR="00F315C6" w:rsidRPr="00217CA0">
        <w:t>(April 2013)</w:t>
      </w:r>
      <w:r w:rsidR="008D02DF">
        <w:t>.</w:t>
      </w:r>
    </w:p>
    <w:p w14:paraId="6294AA60" w14:textId="77777777" w:rsidR="00011D29" w:rsidRPr="00217CA0" w:rsidRDefault="00011D29" w:rsidP="00011D29">
      <w:pPr>
        <w:pStyle w:val="ListParagraph"/>
        <w:ind w:left="567" w:hanging="567"/>
        <w:rPr>
          <w:color w:val="1F497D"/>
        </w:rPr>
      </w:pPr>
    </w:p>
    <w:p w14:paraId="7C591B09" w14:textId="1A5FDC68" w:rsidR="00011D29" w:rsidRPr="00217CA0" w:rsidRDefault="00011D29" w:rsidP="00011D29">
      <w:pPr>
        <w:pStyle w:val="ListParagraph"/>
        <w:numPr>
          <w:ilvl w:val="1"/>
          <w:numId w:val="12"/>
        </w:numPr>
        <w:spacing w:before="20"/>
        <w:ind w:left="567" w:hanging="567"/>
        <w:rPr>
          <w:color w:val="1F497D"/>
        </w:rPr>
      </w:pPr>
      <w:r w:rsidRPr="008B5A5D">
        <w:t>There</w:t>
      </w:r>
      <w:r w:rsidRPr="00217CA0">
        <w:t xml:space="preserve"> are </w:t>
      </w:r>
      <w:r>
        <w:t xml:space="preserve">now </w:t>
      </w:r>
      <w:r w:rsidR="00AC4161">
        <w:t>five</w:t>
      </w:r>
      <w:r w:rsidRPr="00217CA0">
        <w:t xml:space="preserve"> ‘made’ Neighbourhood Plans covering the respective parts of those parishes within the National Park:</w:t>
      </w:r>
      <w:r w:rsidR="00AC4161">
        <w:t xml:space="preserve"> Lymington and Pennington </w:t>
      </w:r>
      <w:r w:rsidR="00FC2DDA">
        <w:t>Neighbourhood Plan (March 2026),</w:t>
      </w:r>
      <w:r w:rsidRPr="00217CA0">
        <w:t xml:space="preserve"> </w:t>
      </w:r>
      <w:r>
        <w:t xml:space="preserve">Wellow Neighbourhood Plan (July 2024), Ringwood Neighbourhood Plan (July 2024), </w:t>
      </w:r>
      <w:r w:rsidRPr="00217CA0">
        <w:t xml:space="preserve">New Milton Neighbourhood Plan (July 2021) and Hythe and Dibden Neighbourhood Plan (December 2019). These Plans can be viewed on the </w:t>
      </w:r>
      <w:hyperlink r:id="rId27" w:history="1">
        <w:r w:rsidRPr="00217CA0">
          <w:rPr>
            <w:rStyle w:val="Hyperlink"/>
            <w:rFonts w:cs="Arial"/>
          </w:rPr>
          <w:t>Authority’s website</w:t>
        </w:r>
      </w:hyperlink>
      <w:r w:rsidRPr="00217CA0">
        <w:t>.</w:t>
      </w:r>
    </w:p>
    <w:p w14:paraId="016F1345" w14:textId="77777777" w:rsidR="00011D29" w:rsidRPr="00217CA0" w:rsidRDefault="00011D29" w:rsidP="00011D29">
      <w:pPr>
        <w:pStyle w:val="ListParagraph"/>
        <w:ind w:left="567" w:hanging="567"/>
        <w:rPr>
          <w:color w:val="1F497D"/>
        </w:rPr>
      </w:pPr>
    </w:p>
    <w:p w14:paraId="1D43003B" w14:textId="77777777" w:rsidR="00011D29" w:rsidRPr="00217CA0" w:rsidRDefault="00011D29" w:rsidP="00011D29">
      <w:pPr>
        <w:pStyle w:val="ListParagraph"/>
        <w:numPr>
          <w:ilvl w:val="1"/>
          <w:numId w:val="12"/>
        </w:numPr>
        <w:ind w:left="567" w:hanging="567"/>
        <w:rPr>
          <w:color w:val="1F497D"/>
        </w:rPr>
      </w:pPr>
      <w:r w:rsidRPr="008B5A5D">
        <w:t>The</w:t>
      </w:r>
      <w:r w:rsidRPr="00217CA0">
        <w:t xml:space="preserve"> Authority continue</w:t>
      </w:r>
      <w:r>
        <w:t>s</w:t>
      </w:r>
      <w:r w:rsidRPr="00217CA0">
        <w:t xml:space="preserve"> to work with the </w:t>
      </w:r>
      <w:proofErr w:type="gramStart"/>
      <w:r w:rsidRPr="00217CA0">
        <w:t>above mentioned</w:t>
      </w:r>
      <w:proofErr w:type="gramEnd"/>
      <w:r w:rsidRPr="00217CA0">
        <w:t xml:space="preserve"> local communities as they develop their Neighbourhood Plans, together with any other National Park communities wishing to prepare a Plan. </w:t>
      </w:r>
    </w:p>
    <w:p w14:paraId="2E6C99D3" w14:textId="77777777" w:rsidR="00011D29" w:rsidRDefault="00011D29" w:rsidP="00011D29">
      <w:pPr>
        <w:pStyle w:val="ListParagraph"/>
        <w:rPr>
          <w:color w:val="1F497D"/>
        </w:rPr>
      </w:pPr>
    </w:p>
    <w:p w14:paraId="1755F016" w14:textId="77777777" w:rsidR="00011D29" w:rsidRPr="00217CA0" w:rsidRDefault="00011D29" w:rsidP="00011D29">
      <w:pPr>
        <w:pStyle w:val="ListParagraph"/>
        <w:rPr>
          <w:color w:val="1F497D"/>
        </w:rPr>
      </w:pPr>
    </w:p>
    <w:p w14:paraId="56E82F34" w14:textId="77777777" w:rsidR="00011D29" w:rsidRPr="00217CA0" w:rsidRDefault="00011D29" w:rsidP="00011D29">
      <w:pPr>
        <w:pStyle w:val="Heading2"/>
        <w:spacing w:before="0"/>
        <w:ind w:firstLine="567"/>
      </w:pPr>
      <w:r w:rsidRPr="00217CA0">
        <w:t>Self and custom build register</w:t>
      </w:r>
    </w:p>
    <w:p w14:paraId="2467D0B8" w14:textId="77777777" w:rsidR="00011D29" w:rsidRPr="00217CA0" w:rsidRDefault="00011D29" w:rsidP="00011D29">
      <w:pPr>
        <w:pStyle w:val="ListParagraph"/>
        <w:rPr>
          <w:color w:val="1F497D"/>
        </w:rPr>
      </w:pPr>
    </w:p>
    <w:p w14:paraId="3DBEF783" w14:textId="77777777" w:rsidR="00011D29" w:rsidRPr="00217CA0" w:rsidRDefault="00011D29" w:rsidP="00011D29">
      <w:pPr>
        <w:pStyle w:val="ListParagraph"/>
        <w:numPr>
          <w:ilvl w:val="1"/>
          <w:numId w:val="12"/>
        </w:numPr>
        <w:ind w:left="567" w:hanging="567"/>
        <w:rPr>
          <w:color w:val="1F497D"/>
        </w:rPr>
      </w:pPr>
      <w:r w:rsidRPr="00B94366">
        <w:t>All</w:t>
      </w:r>
      <w:r w:rsidRPr="00217CA0">
        <w:t xml:space="preserve"> </w:t>
      </w:r>
      <w:r w:rsidRPr="008B5A5D">
        <w:t>relevant</w:t>
      </w:r>
      <w:r w:rsidRPr="00217CA0">
        <w:t xml:space="preserve"> authorities are required by the </w:t>
      </w:r>
      <w:hyperlink r:id="rId28" w:tgtFrame="_blank" w:history="1">
        <w:r w:rsidRPr="00217CA0">
          <w:rPr>
            <w:rStyle w:val="Hyperlink"/>
          </w:rPr>
          <w:t>Self-build and Custom Housebuilding Act 2015</w:t>
        </w:r>
      </w:hyperlink>
      <w:r w:rsidRPr="00217CA0">
        <w:t xml:space="preserve"> to maintain a register of individuals and associations of individuals who wish to acquire a serviced plot for self-building. The register will provide information on the demand for self-build and custom housebuilding in the National Park. Self-build proposals will require planning permission in the normal way.</w:t>
      </w:r>
    </w:p>
    <w:p w14:paraId="622A402B" w14:textId="77777777" w:rsidR="00011D29" w:rsidRPr="00217CA0" w:rsidRDefault="00011D29" w:rsidP="00011D29">
      <w:pPr>
        <w:pStyle w:val="ListParagraph"/>
        <w:ind w:left="567" w:hanging="567"/>
        <w:rPr>
          <w:color w:val="1F497D"/>
        </w:rPr>
      </w:pPr>
    </w:p>
    <w:p w14:paraId="09EC9AD3" w14:textId="2D4AF784" w:rsidR="00011D29" w:rsidRPr="00217CA0" w:rsidRDefault="00011D29" w:rsidP="00011D29">
      <w:pPr>
        <w:pStyle w:val="ListParagraph"/>
        <w:numPr>
          <w:ilvl w:val="1"/>
          <w:numId w:val="12"/>
        </w:numPr>
        <w:ind w:left="567" w:hanging="567"/>
        <w:rPr>
          <w:color w:val="1F497D"/>
        </w:rPr>
      </w:pPr>
      <w:r w:rsidRPr="008B5A5D">
        <w:t>The</w:t>
      </w:r>
      <w:r w:rsidRPr="00217CA0">
        <w:t xml:space="preserve"> Authority has kept a register since 1 April 2016, and there are 4</w:t>
      </w:r>
      <w:r w:rsidR="00832EF8">
        <w:t>54</w:t>
      </w:r>
      <w:r w:rsidRPr="00217CA0">
        <w:t xml:space="preserve"> individuals on the register (as </w:t>
      </w:r>
      <w:proofErr w:type="gramStart"/>
      <w:r w:rsidRPr="00217CA0">
        <w:t>at</w:t>
      </w:r>
      <w:proofErr w:type="gramEnd"/>
      <w:r w:rsidRPr="00217CA0">
        <w:t xml:space="preserve"> 30 October 202</w:t>
      </w:r>
      <w:r w:rsidR="00E16847">
        <w:t>5</w:t>
      </w:r>
      <w:r w:rsidRPr="00217CA0">
        <w:t>). During the period 31 October 202</w:t>
      </w:r>
      <w:r w:rsidR="00832EF8">
        <w:t>4</w:t>
      </w:r>
      <w:r w:rsidRPr="00217CA0">
        <w:t xml:space="preserve"> to 30 October 202</w:t>
      </w:r>
      <w:r w:rsidR="00832EF8">
        <w:t>5</w:t>
      </w:r>
      <w:r w:rsidRPr="00217CA0">
        <w:t xml:space="preserve"> a total of </w:t>
      </w:r>
      <w:r w:rsidR="00832EF8">
        <w:t>15</w:t>
      </w:r>
      <w:r w:rsidRPr="00217CA0">
        <w:t xml:space="preserve"> individuals signed up to be on the register, which is fewer than the numbers who signed up in each of the previous five years. Approximately 20% of all those on the register would prefer a </w:t>
      </w:r>
      <w:proofErr w:type="spellStart"/>
      <w:r w:rsidRPr="00217CA0">
        <w:t>self build</w:t>
      </w:r>
      <w:proofErr w:type="spellEnd"/>
      <w:r w:rsidRPr="00217CA0">
        <w:t xml:space="preserve"> plot within, or adjacent to</w:t>
      </w:r>
      <w:r w:rsidR="00832EF8">
        <w:t>,</w:t>
      </w:r>
      <w:r w:rsidRPr="00217CA0">
        <w:t xml:space="preserve"> a defined village (i.e. Ashurst, Brockenhurst, Lyndhurst or Sway), with a further </w:t>
      </w:r>
      <w:r>
        <w:t>19</w:t>
      </w:r>
      <w:r w:rsidRPr="00217CA0">
        <w:t xml:space="preserve">% wanting a site elsewhere in the National Park. Additionally, </w:t>
      </w:r>
      <w:r>
        <w:t>60</w:t>
      </w:r>
      <w:r w:rsidRPr="00217CA0">
        <w:t xml:space="preserve">% would be content with a site </w:t>
      </w:r>
      <w:r w:rsidRPr="00217CA0">
        <w:lastRenderedPageBreak/>
        <w:t xml:space="preserve">in either a defined village or anywhere else in the National Park, whilst 1% of individuals did not give an answer. </w:t>
      </w:r>
    </w:p>
    <w:p w14:paraId="54FC4507" w14:textId="77777777" w:rsidR="00011D29" w:rsidRPr="00217CA0" w:rsidRDefault="00011D29" w:rsidP="00011D29">
      <w:pPr>
        <w:pStyle w:val="ListParagraph"/>
        <w:ind w:left="567" w:hanging="567"/>
        <w:rPr>
          <w:color w:val="1F497D"/>
        </w:rPr>
      </w:pPr>
    </w:p>
    <w:p w14:paraId="6CF0F61B" w14:textId="16F7566A" w:rsidR="00011D29" w:rsidRPr="00217CA0" w:rsidRDefault="00011D29" w:rsidP="00011D29">
      <w:pPr>
        <w:pStyle w:val="ListParagraph"/>
        <w:numPr>
          <w:ilvl w:val="1"/>
          <w:numId w:val="12"/>
        </w:numPr>
        <w:ind w:left="567" w:hanging="567"/>
        <w:rPr>
          <w:color w:val="1F497D"/>
        </w:rPr>
      </w:pPr>
      <w:r w:rsidRPr="008B5A5D">
        <w:t>Local</w:t>
      </w:r>
      <w:r w:rsidRPr="00217CA0">
        <w:t xml:space="preserve"> planning authorities have a legal duty to grant sufficient planning permissions to meet the demand for self-build and custom housebuilding in their area (as indicated by the register) on a rolling three-year basis. To date the Authority has permitted </w:t>
      </w:r>
      <w:r w:rsidR="005556A6">
        <w:t xml:space="preserve">what was considered </w:t>
      </w:r>
      <w:r w:rsidRPr="00217CA0">
        <w:t>sufficient suitable permissions</w:t>
      </w:r>
      <w:r w:rsidR="00D3486A">
        <w:t xml:space="preserve"> to match demand on the register, such as </w:t>
      </w:r>
      <w:proofErr w:type="gramStart"/>
      <w:r w:rsidR="00D3486A">
        <w:t>commoners</w:t>
      </w:r>
      <w:proofErr w:type="gramEnd"/>
      <w:r w:rsidR="00703810">
        <w:t xml:space="preserve"> dwellings and replacement dwellings</w:t>
      </w:r>
      <w:r w:rsidRPr="00217CA0">
        <w:t>.</w:t>
      </w:r>
      <w:r w:rsidR="005556A6">
        <w:t xml:space="preserve"> However,</w:t>
      </w:r>
      <w:r w:rsidRPr="00217CA0">
        <w:t xml:space="preserve"> changes to self and custom build </w:t>
      </w:r>
      <w:r w:rsidR="005556A6">
        <w:t>regulations</w:t>
      </w:r>
      <w:r w:rsidRPr="00217CA0">
        <w:t xml:space="preserve"> </w:t>
      </w:r>
      <w:r w:rsidR="00703810">
        <w:t xml:space="preserve">enacted </w:t>
      </w:r>
      <w:r w:rsidRPr="00217CA0">
        <w:t xml:space="preserve">through the Levelling-up and Regeneration Act 2023, </w:t>
      </w:r>
      <w:r w:rsidR="005556A6" w:rsidRPr="00692E8E">
        <w:t xml:space="preserve">mean that </w:t>
      </w:r>
      <w:r w:rsidR="005556A6">
        <w:t>such</w:t>
      </w:r>
      <w:r w:rsidR="005556A6" w:rsidRPr="00692E8E">
        <w:t xml:space="preserve"> permissions must specifically </w:t>
      </w:r>
      <w:r w:rsidR="001E173C">
        <w:t>state they are</w:t>
      </w:r>
      <w:r w:rsidR="005556A6" w:rsidRPr="00692E8E">
        <w:t xml:space="preserve"> for ‘the carrying out of self-build and custom housebuilding’</w:t>
      </w:r>
      <w:r w:rsidR="00703810">
        <w:t xml:space="preserve">, and supported by </w:t>
      </w:r>
      <w:r w:rsidR="00886BC3">
        <w:t>appropriate conditions or a legal agreement</w:t>
      </w:r>
      <w:r w:rsidR="00077634">
        <w:t>, in addition to monitoring that such properties are the primary residence</w:t>
      </w:r>
      <w:r w:rsidR="005556A6" w:rsidRPr="00692E8E">
        <w:t xml:space="preserve">. In ascertaining whether demand has been met, local </w:t>
      </w:r>
      <w:r w:rsidR="001B1818">
        <w:t xml:space="preserve">planning </w:t>
      </w:r>
      <w:r w:rsidR="005556A6" w:rsidRPr="00692E8E">
        <w:t>authorities can no longer count what ‘could’ be self-build and custom housing</w:t>
      </w:r>
      <w:r w:rsidR="0057611C">
        <w:t>,</w:t>
      </w:r>
      <w:r w:rsidR="005556A6" w:rsidRPr="00692E8E">
        <w:t xml:space="preserve"> only what is </w:t>
      </w:r>
      <w:r w:rsidR="0057611C" w:rsidRPr="00692E8E">
        <w:t>permitted</w:t>
      </w:r>
      <w:r w:rsidR="005556A6" w:rsidRPr="00692E8E">
        <w:t xml:space="preserve"> as such.</w:t>
      </w:r>
      <w:r w:rsidR="001B1818">
        <w:t xml:space="preserve"> On that basis the Authority has not granted </w:t>
      </w:r>
      <w:r w:rsidR="00E977C0">
        <w:t>any suitable planning permission to match demand for self and custom build homes on the register.</w:t>
      </w:r>
      <w:r w:rsidR="00692E8E">
        <w:t xml:space="preserve"> </w:t>
      </w:r>
      <w:r w:rsidR="0057611C">
        <w:t xml:space="preserve">The draft revised Local Plan </w:t>
      </w:r>
      <w:r w:rsidR="00F6375A">
        <w:t>policies support the provision of new self and custom housebuilding.</w:t>
      </w:r>
    </w:p>
    <w:p w14:paraId="731E5E78" w14:textId="77777777" w:rsidR="00011D29" w:rsidRDefault="00011D29" w:rsidP="00011D29">
      <w:pPr>
        <w:pStyle w:val="ListParagraph"/>
        <w:rPr>
          <w:color w:val="1F497D"/>
        </w:rPr>
      </w:pPr>
    </w:p>
    <w:p w14:paraId="027AF66C" w14:textId="77777777" w:rsidR="00BC57C3" w:rsidRPr="00217CA0" w:rsidRDefault="00BC57C3" w:rsidP="00011D29">
      <w:pPr>
        <w:pStyle w:val="ListParagraph"/>
        <w:rPr>
          <w:color w:val="1F497D"/>
        </w:rPr>
      </w:pPr>
    </w:p>
    <w:p w14:paraId="7DDE2D02" w14:textId="77777777" w:rsidR="00011D29" w:rsidRPr="00217CA0" w:rsidRDefault="00011D29" w:rsidP="00011D29">
      <w:pPr>
        <w:pStyle w:val="Heading2"/>
        <w:spacing w:before="0"/>
        <w:ind w:firstLine="567"/>
      </w:pPr>
      <w:r w:rsidRPr="00B94366">
        <w:t>Performance</w:t>
      </w:r>
      <w:r w:rsidRPr="00217CA0">
        <w:t xml:space="preserve"> of Vibrant Communities policies</w:t>
      </w:r>
    </w:p>
    <w:p w14:paraId="4F71B045" w14:textId="77777777" w:rsidR="00011D29" w:rsidRPr="00217CA0" w:rsidRDefault="00011D29" w:rsidP="00011D29">
      <w:pPr>
        <w:pStyle w:val="ListParagraph"/>
        <w:ind w:left="0"/>
        <w:rPr>
          <w:color w:val="1F497D"/>
        </w:rPr>
      </w:pPr>
    </w:p>
    <w:p w14:paraId="142EC069" w14:textId="77777777" w:rsidR="00C91CAB" w:rsidRPr="00C91CAB" w:rsidRDefault="00011D29" w:rsidP="00011D29">
      <w:pPr>
        <w:pStyle w:val="ListParagraph"/>
        <w:numPr>
          <w:ilvl w:val="1"/>
          <w:numId w:val="12"/>
        </w:numPr>
        <w:ind w:left="567" w:hanging="567"/>
        <w:rPr>
          <w:color w:val="1F497D"/>
        </w:rPr>
      </w:pPr>
      <w:r w:rsidRPr="00217CA0">
        <w:t xml:space="preserve">Housing completions </w:t>
      </w:r>
      <w:r>
        <w:t>have continued to increase year on year since the Covid pandemic in 2020</w:t>
      </w:r>
      <w:r w:rsidRPr="00217CA0">
        <w:t xml:space="preserve">. </w:t>
      </w:r>
      <w:r>
        <w:t>This includes</w:t>
      </w:r>
      <w:r w:rsidRPr="00217CA0">
        <w:t xml:space="preserve"> good progress on the Local Plan housing site allocations, which all have either a grant of planning permission or a </w:t>
      </w:r>
      <w:r w:rsidR="00D16294">
        <w:t>resolution to grant permission</w:t>
      </w:r>
      <w:r w:rsidR="00573726">
        <w:t>.</w:t>
      </w:r>
      <w:r w:rsidRPr="00217CA0">
        <w:t xml:space="preserve"> Work at the site of the former Lyndhurst Park Hotel </w:t>
      </w:r>
      <w:r>
        <w:t>is well underway</w:t>
      </w:r>
      <w:r w:rsidRPr="00217CA0">
        <w:t xml:space="preserve">, which will deliver 79 new dwellings (including some on-site affordable housing provision). </w:t>
      </w:r>
      <w:r>
        <w:t xml:space="preserve">Construction has also begun at the Church Lane site in Sway </w:t>
      </w:r>
      <w:r w:rsidR="00573726">
        <w:t>and at Wharton’s Lane in Ashurst</w:t>
      </w:r>
      <w:r>
        <w:t xml:space="preserve">. </w:t>
      </w:r>
    </w:p>
    <w:p w14:paraId="4B61A1AC" w14:textId="77777777" w:rsidR="00C91CAB" w:rsidRPr="00C91CAB" w:rsidRDefault="00C91CAB" w:rsidP="00C91CAB">
      <w:pPr>
        <w:pStyle w:val="ListParagraph"/>
        <w:ind w:left="567"/>
        <w:rPr>
          <w:color w:val="1F497D"/>
        </w:rPr>
      </w:pPr>
    </w:p>
    <w:p w14:paraId="57841B5C" w14:textId="2822E210" w:rsidR="00011D29" w:rsidRPr="00217CA0" w:rsidRDefault="00C91CAB" w:rsidP="00011D29">
      <w:pPr>
        <w:pStyle w:val="ListParagraph"/>
        <w:numPr>
          <w:ilvl w:val="1"/>
          <w:numId w:val="12"/>
        </w:numPr>
        <w:ind w:left="567" w:hanging="567"/>
        <w:rPr>
          <w:color w:val="1F497D"/>
        </w:rPr>
      </w:pPr>
      <w:r>
        <w:t>T</w:t>
      </w:r>
      <w:r w:rsidR="00011D29">
        <w:t xml:space="preserve">here were </w:t>
      </w:r>
      <w:r>
        <w:t>two</w:t>
      </w:r>
      <w:r w:rsidR="00011D29">
        <w:t xml:space="preserve"> affordable houses built this year, </w:t>
      </w:r>
      <w:r>
        <w:t xml:space="preserve">with permission granted for a rural exception site at Bartley for </w:t>
      </w:r>
      <w:r w:rsidR="006871E3">
        <w:t xml:space="preserve">ten dwellings. Additionally, </w:t>
      </w:r>
      <w:r w:rsidR="00011D29">
        <w:t>the housing site allocations will deliver a significant proportion of affordable dwellings in due course.</w:t>
      </w:r>
    </w:p>
    <w:p w14:paraId="509FF121" w14:textId="77777777" w:rsidR="00011D29" w:rsidRPr="00217CA0" w:rsidRDefault="00011D29" w:rsidP="00BC57C3"/>
    <w:p w14:paraId="22F259CE" w14:textId="50FC08AF" w:rsidR="00011D29" w:rsidRPr="00217CA0" w:rsidRDefault="00011D29" w:rsidP="00011D29">
      <w:pPr>
        <w:pStyle w:val="ListParagraph"/>
        <w:numPr>
          <w:ilvl w:val="1"/>
          <w:numId w:val="12"/>
        </w:numPr>
        <w:ind w:left="567" w:hanging="567"/>
        <w:rPr>
          <w:color w:val="1F497D"/>
        </w:rPr>
      </w:pPr>
      <w:r w:rsidRPr="00217CA0">
        <w:t>Overall, development for housing during the monitoring period has come forward in line with the policies in the Authority’s Local Plan.</w:t>
      </w:r>
      <w:r w:rsidR="00E44575">
        <w:t xml:space="preserve"> Many of these policies remain broadly fit for purpose and aligned to national policy. However, the emerging review of the Local Plan </w:t>
      </w:r>
      <w:r w:rsidR="00EE68E3">
        <w:t xml:space="preserve">includes an update of the housing needs </w:t>
      </w:r>
      <w:proofErr w:type="gramStart"/>
      <w:r w:rsidR="00EE68E3">
        <w:t>assessment, and</w:t>
      </w:r>
      <w:proofErr w:type="gramEnd"/>
      <w:r w:rsidR="00EE68E3">
        <w:t xml:space="preserve"> </w:t>
      </w:r>
      <w:r w:rsidR="009F653D">
        <w:t xml:space="preserve">consequently has </w:t>
      </w:r>
      <w:r w:rsidR="002408C2">
        <w:t>reviewed</w:t>
      </w:r>
      <w:r w:rsidR="009F653D">
        <w:t xml:space="preserve"> </w:t>
      </w:r>
      <w:r w:rsidR="00BD640D">
        <w:t>the spatial strategy</w:t>
      </w:r>
      <w:r w:rsidR="002408C2">
        <w:t xml:space="preserve"> and </w:t>
      </w:r>
      <w:r w:rsidR="00314E32">
        <w:t>villages where some growth could be accommodated.</w:t>
      </w:r>
    </w:p>
    <w:p w14:paraId="466BED02" w14:textId="77777777" w:rsidR="00011D29" w:rsidRPr="00217CA0" w:rsidRDefault="00011D29" w:rsidP="00011D29">
      <w:pPr>
        <w:spacing w:after="160" w:line="259" w:lineRule="auto"/>
        <w:rPr>
          <w:rFonts w:eastAsiaTheme="majorEastAsia" w:cstheme="majorBidi"/>
          <w:b/>
          <w:sz w:val="28"/>
          <w:szCs w:val="32"/>
        </w:rPr>
      </w:pPr>
      <w:r w:rsidRPr="00217CA0">
        <w:br w:type="page"/>
      </w:r>
    </w:p>
    <w:p w14:paraId="35702FE8" w14:textId="77777777" w:rsidR="00011D29" w:rsidRPr="00217CA0" w:rsidRDefault="00011D29" w:rsidP="00011D29">
      <w:pPr>
        <w:pStyle w:val="Heading1"/>
      </w:pPr>
      <w:bookmarkStart w:id="11" w:name="_Toc92364677"/>
      <w:r w:rsidRPr="00217CA0">
        <w:lastRenderedPageBreak/>
        <w:t>7.</w:t>
      </w:r>
      <w:r w:rsidRPr="00217CA0">
        <w:tab/>
        <w:t>A Sustainable Local Economy</w:t>
      </w:r>
      <w:bookmarkEnd w:id="11"/>
    </w:p>
    <w:p w14:paraId="2BEAAA61" w14:textId="77777777" w:rsidR="00011D29" w:rsidRDefault="00011D29" w:rsidP="00011D29"/>
    <w:p w14:paraId="64970F92" w14:textId="77777777" w:rsidR="00011D29" w:rsidRDefault="00011D29" w:rsidP="00011D29">
      <w:pPr>
        <w:shd w:val="clear" w:color="auto" w:fill="D9D9D9" w:themeFill="background1" w:themeFillShade="D9"/>
      </w:pPr>
      <w:r w:rsidRPr="001F12D1">
        <w:rPr>
          <w:b/>
          <w:bCs/>
        </w:rPr>
        <w:t xml:space="preserve">New Forest National Park Partnership Plan Objective </w:t>
      </w:r>
      <w:r>
        <w:rPr>
          <w:b/>
          <w:bCs/>
        </w:rPr>
        <w:t>4</w:t>
      </w:r>
    </w:p>
    <w:p w14:paraId="123D470F" w14:textId="77777777" w:rsidR="00011D29" w:rsidRPr="00D26FCC" w:rsidRDefault="00011D29" w:rsidP="00011D29">
      <w:pPr>
        <w:shd w:val="clear" w:color="auto" w:fill="D9D9D9" w:themeFill="background1" w:themeFillShade="D9"/>
      </w:pPr>
      <w:r w:rsidRPr="00F66D5F">
        <w:t xml:space="preserve">Thriving Forest – a living, working Forest is sustained through its rich cultural heritage, natural beauty and support for </w:t>
      </w:r>
      <w:proofErr w:type="spellStart"/>
      <w:r w:rsidRPr="00F66D5F">
        <w:t>commoning</w:t>
      </w:r>
      <w:proofErr w:type="spellEnd"/>
      <w:r w:rsidRPr="00F66D5F">
        <w:t>. There is a vibrant local produce market, access to affordable homes and a growing green economy featuring sustainable tourism and green businesses.</w:t>
      </w:r>
    </w:p>
    <w:p w14:paraId="53DBB6F5" w14:textId="77777777" w:rsidR="00011D29" w:rsidRPr="00217CA0" w:rsidRDefault="00011D29" w:rsidP="00011D29"/>
    <w:p w14:paraId="2F06AACC" w14:textId="77777777" w:rsidR="00011D29" w:rsidRPr="00217CA0" w:rsidRDefault="00011D29" w:rsidP="00011D29">
      <w:pPr>
        <w:shd w:val="clear" w:color="auto" w:fill="D9D9D9" w:themeFill="background1" w:themeFillShade="D9"/>
      </w:pPr>
      <w:r w:rsidRPr="00217CA0">
        <w:rPr>
          <w:b/>
          <w:bCs/>
        </w:rPr>
        <w:t>Local Plan Strategic Objective 6:</w:t>
      </w:r>
      <w:r w:rsidRPr="00217CA0">
        <w:t xml:space="preserve"> Policies SP42, SP43, SP44, SP45</w:t>
      </w:r>
    </w:p>
    <w:p w14:paraId="2DD32D20" w14:textId="77777777" w:rsidR="00011D29" w:rsidRPr="00217CA0" w:rsidRDefault="00011D29" w:rsidP="00011D29">
      <w:pPr>
        <w:shd w:val="clear" w:color="auto" w:fill="D9D9D9" w:themeFill="background1" w:themeFillShade="D9"/>
      </w:pPr>
      <w:r w:rsidRPr="00217CA0">
        <w:t xml:space="preserve">Develop a diverse and sustainable economy that contributes to the well-being of local communities throughout the </w:t>
      </w:r>
      <w:proofErr w:type="gramStart"/>
      <w:r w:rsidRPr="00217CA0">
        <w:t>Park</w:t>
      </w:r>
      <w:proofErr w:type="gramEnd"/>
      <w:r w:rsidRPr="00217CA0">
        <w:t>.</w:t>
      </w:r>
    </w:p>
    <w:p w14:paraId="1976F660" w14:textId="77777777" w:rsidR="00011D29" w:rsidRPr="00217CA0" w:rsidRDefault="00011D29" w:rsidP="00011D29">
      <w:pPr>
        <w:shd w:val="clear" w:color="auto" w:fill="D9D9D9" w:themeFill="background1" w:themeFillShade="D9"/>
        <w:rPr>
          <w:sz w:val="16"/>
          <w:szCs w:val="16"/>
        </w:rPr>
      </w:pPr>
    </w:p>
    <w:p w14:paraId="03D67AE0" w14:textId="77777777" w:rsidR="00011D29" w:rsidRPr="00217CA0" w:rsidRDefault="00011D29" w:rsidP="00011D29">
      <w:pPr>
        <w:shd w:val="clear" w:color="auto" w:fill="D9D9D9" w:themeFill="background1" w:themeFillShade="D9"/>
        <w:rPr>
          <w:b/>
          <w:bCs/>
          <w:u w:val="single"/>
        </w:rPr>
      </w:pPr>
      <w:r w:rsidRPr="00217CA0">
        <w:rPr>
          <w:b/>
          <w:bCs/>
        </w:rPr>
        <w:t>Local Plan Strategic Objective 7:</w:t>
      </w:r>
      <w:r w:rsidRPr="00217CA0">
        <w:t xml:space="preserve"> Policies SP48, DP49, DP50, DP51 – DP53</w:t>
      </w:r>
    </w:p>
    <w:p w14:paraId="5634871D" w14:textId="77777777" w:rsidR="00011D29" w:rsidRPr="00217CA0" w:rsidRDefault="00011D29" w:rsidP="00011D29">
      <w:pPr>
        <w:shd w:val="clear" w:color="auto" w:fill="D9D9D9" w:themeFill="background1" w:themeFillShade="D9"/>
      </w:pPr>
      <w:r w:rsidRPr="00217CA0">
        <w:t>Encourage land management that sustains the special qualities of the National Park.</w:t>
      </w:r>
    </w:p>
    <w:p w14:paraId="38305607" w14:textId="77777777" w:rsidR="00011D29" w:rsidRPr="00217CA0" w:rsidRDefault="00011D29" w:rsidP="00011D29">
      <w:pPr>
        <w:shd w:val="clear" w:color="auto" w:fill="D9D9D9" w:themeFill="background1" w:themeFillShade="D9"/>
        <w:rPr>
          <w:sz w:val="16"/>
          <w:szCs w:val="16"/>
        </w:rPr>
      </w:pPr>
    </w:p>
    <w:p w14:paraId="31611300" w14:textId="77777777" w:rsidR="00011D29" w:rsidRPr="00217CA0" w:rsidRDefault="00011D29" w:rsidP="00011D29">
      <w:pPr>
        <w:shd w:val="clear" w:color="auto" w:fill="D9D9D9" w:themeFill="background1" w:themeFillShade="D9"/>
      </w:pPr>
      <w:r w:rsidRPr="00217CA0">
        <w:rPr>
          <w:b/>
          <w:bCs/>
        </w:rPr>
        <w:t>Local Plan Strategic Objective 8</w:t>
      </w:r>
      <w:r w:rsidRPr="00217CA0">
        <w:t>: Policies SP46, DP47</w:t>
      </w:r>
    </w:p>
    <w:p w14:paraId="7422B346" w14:textId="77777777" w:rsidR="00011D29" w:rsidRPr="00217CA0" w:rsidRDefault="00011D29" w:rsidP="00011D29">
      <w:pPr>
        <w:shd w:val="clear" w:color="auto" w:fill="D9D9D9" w:themeFill="background1" w:themeFillShade="D9"/>
      </w:pPr>
      <w:r w:rsidRPr="00217CA0">
        <w:t xml:space="preserve">Support development which encourages sustainable tourism and </w:t>
      </w:r>
      <w:proofErr w:type="gramStart"/>
      <w:r w:rsidRPr="00217CA0">
        <w:t>recreation, and</w:t>
      </w:r>
      <w:proofErr w:type="gramEnd"/>
      <w:r w:rsidRPr="00217CA0">
        <w:t xml:space="preserve"> provides opportunities for enjoying the Park’s special qualities.</w:t>
      </w:r>
    </w:p>
    <w:p w14:paraId="7244812F" w14:textId="77777777" w:rsidR="00011D29" w:rsidRPr="00217CA0" w:rsidRDefault="00011D29" w:rsidP="00011D29">
      <w:pPr>
        <w:pStyle w:val="ListParagraph"/>
      </w:pPr>
    </w:p>
    <w:p w14:paraId="491CD28C" w14:textId="77777777" w:rsidR="00011D29" w:rsidRPr="00217CA0" w:rsidRDefault="00011D29" w:rsidP="00011D29">
      <w:pPr>
        <w:pStyle w:val="Heading2"/>
        <w:spacing w:before="0"/>
        <w:ind w:firstLine="567"/>
      </w:pPr>
      <w:r w:rsidRPr="00217CA0">
        <w:t>Employment and the economy</w:t>
      </w:r>
    </w:p>
    <w:p w14:paraId="71C6230B" w14:textId="77777777" w:rsidR="00011D29" w:rsidRPr="00217CA0" w:rsidRDefault="00011D29" w:rsidP="00011D29">
      <w:pPr>
        <w:rPr>
          <w:szCs w:val="24"/>
        </w:rPr>
      </w:pPr>
    </w:p>
    <w:p w14:paraId="593B4332" w14:textId="77777777" w:rsidR="00011D29" w:rsidRPr="000731D9" w:rsidRDefault="00011D29" w:rsidP="00011D29">
      <w:pPr>
        <w:pStyle w:val="Heading4"/>
        <w:spacing w:before="0"/>
        <w:rPr>
          <w:color w:val="auto"/>
        </w:rPr>
      </w:pPr>
      <w:r w:rsidRPr="000731D9">
        <w:rPr>
          <w:color w:val="auto"/>
        </w:rPr>
        <w:t>Total amount of additional employment floorspace – by type</w:t>
      </w:r>
    </w:p>
    <w:p w14:paraId="518DCC13" w14:textId="77777777" w:rsidR="00011D29" w:rsidRPr="000731D9" w:rsidRDefault="00011D29" w:rsidP="00011D29">
      <w:pPr>
        <w:pStyle w:val="Heading4"/>
        <w:spacing w:before="0"/>
        <w:rPr>
          <w:color w:val="auto"/>
        </w:rPr>
      </w:pPr>
      <w:r w:rsidRPr="000731D9">
        <w:rPr>
          <w:color w:val="auto"/>
        </w:rPr>
        <w:t xml:space="preserve">Total amount of employment floorspace on previously developed land </w:t>
      </w:r>
    </w:p>
    <w:p w14:paraId="47DAD8DB" w14:textId="77777777" w:rsidR="00011D29" w:rsidRPr="00217CA0" w:rsidRDefault="00011D29" w:rsidP="00011D29">
      <w:pPr>
        <w:rPr>
          <w:sz w:val="18"/>
          <w:szCs w:val="18"/>
        </w:rPr>
      </w:pPr>
    </w:p>
    <w:p w14:paraId="31BE2F3D" w14:textId="512623C3" w:rsidR="00011D29" w:rsidRPr="00217CA0" w:rsidRDefault="00011D29" w:rsidP="00011D29">
      <w:pPr>
        <w:pStyle w:val="ListParagraph"/>
        <w:numPr>
          <w:ilvl w:val="1"/>
          <w:numId w:val="11"/>
        </w:numPr>
        <w:suppressAutoHyphens/>
        <w:ind w:left="567" w:right="-24" w:hanging="567"/>
      </w:pPr>
      <w:r w:rsidRPr="008B5A5D">
        <w:t>There</w:t>
      </w:r>
      <w:r w:rsidRPr="00217CA0">
        <w:t xml:space="preserve"> was </w:t>
      </w:r>
      <w:r w:rsidR="00884406">
        <w:t>a</w:t>
      </w:r>
      <w:r w:rsidRPr="00217CA0">
        <w:t xml:space="preserve"> net gain of </w:t>
      </w:r>
      <w:r w:rsidR="00884406">
        <w:t>349</w:t>
      </w:r>
      <w:r w:rsidR="00884406" w:rsidRPr="00217CA0">
        <w:t xml:space="preserve"> m</w:t>
      </w:r>
      <w:r w:rsidR="00884406" w:rsidRPr="00217CA0">
        <w:rPr>
          <w:vertAlign w:val="superscript"/>
        </w:rPr>
        <w:t>2</w:t>
      </w:r>
      <w:r w:rsidR="00884406" w:rsidRPr="00217CA0">
        <w:t xml:space="preserve"> </w:t>
      </w:r>
      <w:r w:rsidR="00AA194D">
        <w:t>of Class B8 (storage and distribution)</w:t>
      </w:r>
      <w:r w:rsidRPr="00217CA0">
        <w:t xml:space="preserve"> floorspace completed during the monitoring period, compared to </w:t>
      </w:r>
      <w:r w:rsidR="009C2B17">
        <w:t>no</w:t>
      </w:r>
      <w:r w:rsidRPr="00217CA0">
        <w:t xml:space="preserve"> net gain last year. </w:t>
      </w:r>
      <w:r w:rsidR="00066021">
        <w:t xml:space="preserve">This all </w:t>
      </w:r>
      <w:r w:rsidR="00EB3501">
        <w:t>comprised floorspace utilising previously developed land as it involved red</w:t>
      </w:r>
      <w:r w:rsidR="00801F41">
        <w:t>evelopment or change of use of existing buildings.</w:t>
      </w:r>
    </w:p>
    <w:p w14:paraId="6826FD4A" w14:textId="77777777" w:rsidR="00011D29" w:rsidRPr="00217CA0" w:rsidRDefault="00011D29" w:rsidP="00011D29">
      <w:pPr>
        <w:pStyle w:val="ListParagraph"/>
        <w:ind w:left="0" w:right="-164"/>
      </w:pPr>
    </w:p>
    <w:p w14:paraId="3AD000AF" w14:textId="77777777" w:rsidR="00011D29" w:rsidRPr="000731D9" w:rsidRDefault="00011D29" w:rsidP="00011D29">
      <w:pPr>
        <w:pStyle w:val="Heading4"/>
        <w:spacing w:before="0"/>
        <w:rPr>
          <w:color w:val="auto"/>
        </w:rPr>
      </w:pPr>
      <w:r w:rsidRPr="000731D9">
        <w:rPr>
          <w:color w:val="auto"/>
        </w:rPr>
        <w:t>Employment land available – by type</w:t>
      </w:r>
    </w:p>
    <w:p w14:paraId="58B71CA1" w14:textId="77777777" w:rsidR="00011D29" w:rsidRPr="00217CA0" w:rsidRDefault="00011D29" w:rsidP="00011D29">
      <w:pPr>
        <w:pStyle w:val="ListParagraph"/>
        <w:ind w:right="-164"/>
        <w:rPr>
          <w:sz w:val="18"/>
          <w:szCs w:val="18"/>
        </w:rPr>
      </w:pPr>
    </w:p>
    <w:p w14:paraId="03D22B47" w14:textId="59CCFD2D" w:rsidR="00011D29" w:rsidRPr="00217CA0" w:rsidRDefault="00011D29" w:rsidP="00011D29">
      <w:pPr>
        <w:pStyle w:val="ListParagraph"/>
        <w:numPr>
          <w:ilvl w:val="1"/>
          <w:numId w:val="11"/>
        </w:numPr>
        <w:suppressAutoHyphens/>
        <w:ind w:left="567" w:right="-24" w:hanging="567"/>
      </w:pPr>
      <w:r w:rsidRPr="008B5A5D">
        <w:t>The</w:t>
      </w:r>
      <w:r w:rsidRPr="00217CA0">
        <w:t xml:space="preserve"> amount of employment land available in the National Park is based solely on unimplemented planning permissions as there are no site-specific allocations for employment use in the Authority’s</w:t>
      </w:r>
      <w:r w:rsidR="00B20602">
        <w:t xml:space="preserve"> adopted</w:t>
      </w:r>
      <w:r w:rsidRPr="00217CA0">
        <w:t xml:space="preserve"> Local Plan. </w:t>
      </w:r>
    </w:p>
    <w:p w14:paraId="30D2EDA7" w14:textId="77777777" w:rsidR="00011D29" w:rsidRPr="00217CA0" w:rsidRDefault="00011D29" w:rsidP="00011D29">
      <w:pPr>
        <w:pStyle w:val="ListParagraph"/>
        <w:ind w:left="567" w:right="-24" w:hanging="567"/>
      </w:pPr>
    </w:p>
    <w:p w14:paraId="085BD31C" w14:textId="77777777" w:rsidR="00717F43" w:rsidRDefault="00011D29" w:rsidP="00011D29">
      <w:pPr>
        <w:pStyle w:val="ListParagraph"/>
        <w:numPr>
          <w:ilvl w:val="1"/>
          <w:numId w:val="11"/>
        </w:numPr>
        <w:suppressAutoHyphens/>
        <w:ind w:left="567" w:right="-24" w:hanging="567"/>
      </w:pPr>
      <w:r w:rsidRPr="00C4479D">
        <w:t>An</w:t>
      </w:r>
      <w:r w:rsidRPr="00217CA0">
        <w:t xml:space="preserve"> </w:t>
      </w:r>
      <w:r w:rsidRPr="008B5A5D">
        <w:t>analysis</w:t>
      </w:r>
      <w:r w:rsidRPr="00217CA0">
        <w:t xml:space="preserve"> of available employment land reveals that there is a stock of sites with planning permission for industrial and office uses totalling</w:t>
      </w:r>
      <w:r w:rsidR="00AD4203">
        <w:t xml:space="preserve"> 3,054</w:t>
      </w:r>
      <w:r w:rsidRPr="00217CA0">
        <w:t xml:space="preserve"> </w:t>
      </w:r>
      <w:r w:rsidR="00571A3C" w:rsidRPr="00217CA0">
        <w:t>m</w:t>
      </w:r>
      <w:r w:rsidR="00571A3C" w:rsidRPr="00217CA0">
        <w:rPr>
          <w:vertAlign w:val="superscript"/>
        </w:rPr>
        <w:t>2</w:t>
      </w:r>
      <w:r w:rsidR="00571A3C">
        <w:t xml:space="preserve"> </w:t>
      </w:r>
      <w:r w:rsidR="00571A3C" w:rsidRPr="00217CA0">
        <w:t xml:space="preserve">floorspace </w:t>
      </w:r>
      <w:r w:rsidR="00571A3C">
        <w:t xml:space="preserve">(compared to </w:t>
      </w:r>
      <w:r w:rsidRPr="00217CA0">
        <w:t>1,135 m</w:t>
      </w:r>
      <w:r w:rsidRPr="00217CA0">
        <w:rPr>
          <w:vertAlign w:val="superscript"/>
        </w:rPr>
        <w:t>2</w:t>
      </w:r>
      <w:r w:rsidRPr="00217CA0">
        <w:t xml:space="preserve"> </w:t>
      </w:r>
      <w:r w:rsidR="00571A3C">
        <w:t xml:space="preserve">last year) </w:t>
      </w:r>
      <w:r w:rsidR="00EA7B65">
        <w:t xml:space="preserve">and </w:t>
      </w:r>
      <w:r w:rsidRPr="00217CA0">
        <w:t>se</w:t>
      </w:r>
      <w:r w:rsidR="00EA7B65">
        <w:t>t out in the</w:t>
      </w:r>
      <w:r w:rsidRPr="00217CA0">
        <w:t xml:space="preserve"> </w:t>
      </w:r>
      <w:r>
        <w:t>chart</w:t>
      </w:r>
      <w:r w:rsidRPr="00217CA0">
        <w:t xml:space="preserve"> </w:t>
      </w:r>
      <w:r w:rsidR="00717F43">
        <w:t>overleaf</w:t>
      </w:r>
      <w:r w:rsidRPr="00217CA0">
        <w:t>.</w:t>
      </w:r>
    </w:p>
    <w:p w14:paraId="45BE82C2" w14:textId="77777777" w:rsidR="00717F43" w:rsidRDefault="00717F43" w:rsidP="00717F43">
      <w:pPr>
        <w:pStyle w:val="ListParagraph"/>
      </w:pPr>
    </w:p>
    <w:p w14:paraId="26F3F59D" w14:textId="1E9059D3" w:rsidR="00011D29" w:rsidRPr="00217CA0" w:rsidRDefault="00011D29" w:rsidP="00011D29">
      <w:pPr>
        <w:pStyle w:val="ListParagraph"/>
        <w:numPr>
          <w:ilvl w:val="1"/>
          <w:numId w:val="11"/>
        </w:numPr>
        <w:suppressAutoHyphens/>
        <w:ind w:left="567" w:right="-24" w:hanging="567"/>
      </w:pPr>
      <w:r w:rsidRPr="008B5A5D">
        <w:t>None</w:t>
      </w:r>
      <w:r w:rsidRPr="00217CA0">
        <w:t xml:space="preserve"> of these sites </w:t>
      </w:r>
      <w:r w:rsidR="00717F43">
        <w:t xml:space="preserve">with permission </w:t>
      </w:r>
      <w:r w:rsidRPr="00217CA0">
        <w:t xml:space="preserve">is in a defined village, although they all comprise extensions to, or change of use of, existing sites and premises, in line with Policy SP42 in the Local Plan. </w:t>
      </w:r>
    </w:p>
    <w:p w14:paraId="7822489F" w14:textId="77777777" w:rsidR="00011D29" w:rsidRPr="00422A8E" w:rsidRDefault="00011D29" w:rsidP="00011D29">
      <w:pPr>
        <w:pStyle w:val="ListParagraph"/>
        <w:ind w:left="0"/>
        <w:jc w:val="both"/>
        <w:rPr>
          <w:sz w:val="18"/>
          <w:szCs w:val="16"/>
        </w:rPr>
      </w:pPr>
    </w:p>
    <w:p w14:paraId="31550D0D" w14:textId="77777777" w:rsidR="00F55877" w:rsidRDefault="00F55877">
      <w:pPr>
        <w:spacing w:after="160" w:line="278" w:lineRule="auto"/>
        <w:rPr>
          <w:b/>
          <w:iCs/>
          <w:sz w:val="22"/>
        </w:rPr>
      </w:pPr>
      <w:r>
        <w:rPr>
          <w:b/>
          <w:iCs/>
          <w:sz w:val="22"/>
        </w:rPr>
        <w:br w:type="page"/>
      </w:r>
    </w:p>
    <w:p w14:paraId="5648EBA1" w14:textId="27CAFCE8" w:rsidR="00011D29" w:rsidRDefault="00011D29" w:rsidP="00011D29">
      <w:pPr>
        <w:pStyle w:val="ListParagraph"/>
        <w:ind w:right="-142"/>
        <w:jc w:val="both"/>
        <w:rPr>
          <w:b/>
          <w:iCs/>
          <w:sz w:val="22"/>
        </w:rPr>
      </w:pPr>
      <w:r w:rsidRPr="008B5A5D">
        <w:rPr>
          <w:b/>
          <w:iCs/>
          <w:sz w:val="22"/>
        </w:rPr>
        <w:lastRenderedPageBreak/>
        <w:t>Figure</w:t>
      </w:r>
      <w:r w:rsidRPr="00DA3C76">
        <w:rPr>
          <w:b/>
          <w:iCs/>
          <w:sz w:val="22"/>
        </w:rPr>
        <w:t xml:space="preserve"> 8: Net available floorspace for employment uses</w:t>
      </w:r>
    </w:p>
    <w:p w14:paraId="0784C19A" w14:textId="77777777" w:rsidR="00717F43" w:rsidRPr="00DA3C76" w:rsidRDefault="00717F43" w:rsidP="00011D29">
      <w:pPr>
        <w:pStyle w:val="ListParagraph"/>
        <w:ind w:right="-142"/>
        <w:jc w:val="both"/>
        <w:rPr>
          <w:b/>
          <w:iCs/>
          <w:sz w:val="22"/>
        </w:rPr>
      </w:pPr>
    </w:p>
    <w:p w14:paraId="468460AC" w14:textId="75D753C7" w:rsidR="00011D29" w:rsidRDefault="009C2B17" w:rsidP="00F55877">
      <w:pPr>
        <w:pStyle w:val="ListParagraph"/>
        <w:ind w:left="567" w:right="-142"/>
        <w:jc w:val="both"/>
        <w:rPr>
          <w:b/>
          <w:i/>
          <w:sz w:val="8"/>
          <w:szCs w:val="10"/>
        </w:rPr>
      </w:pPr>
      <w:r>
        <w:rPr>
          <w:noProof/>
          <w14:ligatures w14:val="standardContextual"/>
        </w:rPr>
        <w:drawing>
          <wp:inline distT="0" distB="0" distL="0" distR="0" wp14:anchorId="60B5ED81" wp14:editId="36D9EEE0">
            <wp:extent cx="5173980" cy="1684020"/>
            <wp:effectExtent l="0" t="0" r="7620" b="11430"/>
            <wp:docPr id="1744629727" name="Chart 1">
              <a:extLst xmlns:a="http://schemas.openxmlformats.org/drawingml/2006/main">
                <a:ext uri="{FF2B5EF4-FFF2-40B4-BE49-F238E27FC236}">
                  <a16:creationId xmlns:a16="http://schemas.microsoft.com/office/drawing/2014/main" id="{9F5A897D-382E-2A11-7267-775CB7E0E5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F7D7083" w14:textId="77777777" w:rsidR="00011D29" w:rsidRPr="00872A09" w:rsidRDefault="00011D29" w:rsidP="00011D29">
      <w:pPr>
        <w:ind w:left="709"/>
        <w:rPr>
          <w:b/>
        </w:rPr>
      </w:pPr>
      <w:r w:rsidRPr="00872A09">
        <w:rPr>
          <w:bCs/>
          <w:sz w:val="18"/>
          <w:szCs w:val="16"/>
        </w:rPr>
        <w:t>Source: Hampshire County Council</w:t>
      </w:r>
      <w:r w:rsidRPr="00872A09">
        <w:rPr>
          <w:b/>
        </w:rPr>
        <w:t xml:space="preserve"> </w:t>
      </w:r>
    </w:p>
    <w:p w14:paraId="6A523D1C" w14:textId="77777777" w:rsidR="00011D29" w:rsidRPr="00217CA0" w:rsidRDefault="00011D29" w:rsidP="00011D29">
      <w:pPr>
        <w:rPr>
          <w:rFonts w:eastAsia="Times New Roman"/>
          <w:bCs/>
          <w:i/>
          <w:iCs/>
          <w:szCs w:val="24"/>
          <w:lang w:eastAsia="ar-SA"/>
        </w:rPr>
      </w:pPr>
    </w:p>
    <w:p w14:paraId="6FFF4E1C" w14:textId="77777777" w:rsidR="00011D29" w:rsidRPr="00217CA0" w:rsidRDefault="00011D29" w:rsidP="00011D29">
      <w:pPr>
        <w:pStyle w:val="ListParagraph"/>
        <w:numPr>
          <w:ilvl w:val="1"/>
          <w:numId w:val="11"/>
        </w:numPr>
        <w:suppressAutoHyphens/>
        <w:ind w:left="567" w:right="-24" w:hanging="567"/>
      </w:pPr>
      <w:r w:rsidRPr="008B5A5D">
        <w:t>From</w:t>
      </w:r>
      <w:r w:rsidRPr="00217CA0">
        <w:t xml:space="preserve"> 1 September 2020, the Town and Country Planning (Use Classes) (Amendment) (England) Regulations 2020 came into effect. This introduced a new Use Class ‘E’ which now covers commercial, business and service uses and incorporates the former B1(a) offices use. This means that uses within this class can change use without requiring an application for planning permission. General industrial (B2) and storage and distribution (B8) use classes remain broadly unchanged. </w:t>
      </w:r>
    </w:p>
    <w:p w14:paraId="30647A70" w14:textId="77777777" w:rsidR="00011D29" w:rsidRPr="00217CA0" w:rsidRDefault="00011D29" w:rsidP="00011D29">
      <w:pPr>
        <w:pStyle w:val="ListParagraph"/>
        <w:ind w:left="567" w:right="-24" w:hanging="567"/>
      </w:pPr>
    </w:p>
    <w:p w14:paraId="19B9F4AE" w14:textId="77777777" w:rsidR="00011D29" w:rsidRPr="00217CA0" w:rsidRDefault="00011D29" w:rsidP="00FE0093">
      <w:pPr>
        <w:pStyle w:val="Heading2"/>
        <w:spacing w:before="0"/>
        <w:ind w:left="567" w:right="-24"/>
      </w:pPr>
      <w:r w:rsidRPr="00217CA0">
        <w:t>Conversions from office to residential use</w:t>
      </w:r>
    </w:p>
    <w:p w14:paraId="0DEC7076" w14:textId="77777777" w:rsidR="00011D29" w:rsidRPr="00217CA0" w:rsidRDefault="00011D29" w:rsidP="00011D29">
      <w:pPr>
        <w:pStyle w:val="ListParagraph"/>
        <w:ind w:left="567" w:right="-24" w:hanging="567"/>
      </w:pPr>
    </w:p>
    <w:p w14:paraId="42A309A7" w14:textId="14A8D926" w:rsidR="00011D29" w:rsidRPr="00217CA0" w:rsidRDefault="00011D29" w:rsidP="00011D29">
      <w:pPr>
        <w:pStyle w:val="ListParagraph"/>
        <w:numPr>
          <w:ilvl w:val="1"/>
          <w:numId w:val="11"/>
        </w:numPr>
        <w:suppressAutoHyphens/>
        <w:ind w:left="567" w:right="-24" w:hanging="567"/>
      </w:pPr>
      <w:r w:rsidRPr="008B5A5D">
        <w:t>The</w:t>
      </w:r>
      <w:r w:rsidRPr="00217CA0">
        <w:t xml:space="preserve"> Government introduced changes to the system of permitted development rights in May 2013, including the change of use from office buildings to dwellings which was made permanent in October 2015. </w:t>
      </w:r>
      <w:r>
        <w:t xml:space="preserve">There </w:t>
      </w:r>
      <w:r w:rsidR="0052368C">
        <w:t>w</w:t>
      </w:r>
      <w:r w:rsidR="004F637A">
        <w:t>as</w:t>
      </w:r>
      <w:r w:rsidR="0052368C">
        <w:t xml:space="preserve"> no </w:t>
      </w:r>
      <w:r w:rsidRPr="00217CA0">
        <w:t>office</w:t>
      </w:r>
      <w:r>
        <w:t xml:space="preserve"> </w:t>
      </w:r>
      <w:r w:rsidR="00B276BB">
        <w:t>floorspace</w:t>
      </w:r>
      <w:r w:rsidR="004F637A">
        <w:t xml:space="preserve"> </w:t>
      </w:r>
      <w:r w:rsidR="00B276BB">
        <w:t>lost</w:t>
      </w:r>
      <w:r w:rsidRPr="00217CA0">
        <w:t xml:space="preserve"> to residential use during the monitoring period. This is compared to </w:t>
      </w:r>
      <w:r w:rsidR="00240D47">
        <w:t>29</w:t>
      </w:r>
      <w:r>
        <w:t xml:space="preserve"> new dwellings arising from the conversion of </w:t>
      </w:r>
      <w:r w:rsidR="00240D47">
        <w:t>one</w:t>
      </w:r>
      <w:r>
        <w:t xml:space="preserve"> office s</w:t>
      </w:r>
      <w:r w:rsidR="00240D47">
        <w:t>ite</w:t>
      </w:r>
      <w:r w:rsidRPr="00217CA0">
        <w:t xml:space="preserve"> </w:t>
      </w:r>
      <w:r w:rsidR="003658F4">
        <w:t>in the previous monitoring</w:t>
      </w:r>
      <w:r w:rsidRPr="00217CA0">
        <w:t xml:space="preserve"> year.</w:t>
      </w:r>
    </w:p>
    <w:p w14:paraId="03B61AA5" w14:textId="77777777" w:rsidR="00011D29" w:rsidRPr="00217CA0" w:rsidRDefault="00011D29" w:rsidP="00011D29">
      <w:pPr>
        <w:ind w:right="-164"/>
      </w:pPr>
    </w:p>
    <w:p w14:paraId="7C28F0A6" w14:textId="77777777" w:rsidR="00011D29" w:rsidRPr="00217CA0" w:rsidRDefault="00011D29" w:rsidP="002A04FC">
      <w:pPr>
        <w:pStyle w:val="Heading2"/>
        <w:ind w:left="567"/>
        <w:rPr>
          <w:b/>
          <w:bCs/>
        </w:rPr>
      </w:pPr>
      <w:r w:rsidRPr="002A04FC">
        <w:t>Telecommunications</w:t>
      </w:r>
    </w:p>
    <w:p w14:paraId="49A4FFCC" w14:textId="77777777" w:rsidR="00011D29" w:rsidRPr="00217CA0" w:rsidRDefault="00011D29" w:rsidP="00011D29">
      <w:pPr>
        <w:pStyle w:val="ListParagraph"/>
        <w:ind w:right="-24" w:firstLine="567"/>
      </w:pPr>
    </w:p>
    <w:p w14:paraId="59F619BD" w14:textId="62AB079F" w:rsidR="00011D29" w:rsidRPr="00217CA0" w:rsidRDefault="009E4749" w:rsidP="00011D29">
      <w:pPr>
        <w:pStyle w:val="ListParagraph"/>
        <w:numPr>
          <w:ilvl w:val="1"/>
          <w:numId w:val="11"/>
        </w:numPr>
        <w:suppressAutoHyphens/>
        <w:ind w:left="567" w:right="-24" w:hanging="567"/>
      </w:pPr>
      <w:r w:rsidRPr="008B5A5D">
        <w:t>D</w:t>
      </w:r>
      <w:r w:rsidR="00011D29" w:rsidRPr="008B5A5D">
        <w:t>uring</w:t>
      </w:r>
      <w:r w:rsidR="00011D29" w:rsidRPr="00217CA0">
        <w:t xml:space="preserve"> the monitoring period</w:t>
      </w:r>
      <w:r>
        <w:t xml:space="preserve"> </w:t>
      </w:r>
      <w:r w:rsidR="00D02BC3">
        <w:t xml:space="preserve">there was one prior approval for a replacement </w:t>
      </w:r>
      <w:r w:rsidR="00AB4FA1">
        <w:t>wooden telecommunications pole in Ringwood</w:t>
      </w:r>
      <w:r w:rsidR="00346D19">
        <w:t xml:space="preserve"> which was approved</w:t>
      </w:r>
      <w:r w:rsidR="00AB4FA1">
        <w:t>,</w:t>
      </w:r>
      <w:r w:rsidR="00346D19">
        <w:t xml:space="preserve"> as well as </w:t>
      </w:r>
      <w:r w:rsidR="00EE7F12">
        <w:t xml:space="preserve">a prior notification for </w:t>
      </w:r>
      <w:r w:rsidR="002B3244">
        <w:t>the demolition of a building for associated telecommunications apparatus which was also approved.</w:t>
      </w:r>
      <w:r w:rsidR="00112FF1">
        <w:t xml:space="preserve"> Additionally, permission was granted for a telecommunications base station at </w:t>
      </w:r>
      <w:proofErr w:type="spellStart"/>
      <w:r w:rsidR="003C7523">
        <w:t>Paultons</w:t>
      </w:r>
      <w:proofErr w:type="spellEnd"/>
      <w:r w:rsidR="003C7523">
        <w:t xml:space="preserve"> Park, comprising antennas, dishes</w:t>
      </w:r>
      <w:r w:rsidR="001D12C3">
        <w:t xml:space="preserve"> and equipment cabinets</w:t>
      </w:r>
      <w:r w:rsidR="00C80E63">
        <w:t xml:space="preserve"> to provide enhanced 2G, 3G, 4G </w:t>
      </w:r>
      <w:r w:rsidR="000F7A41">
        <w:t>and new 5G service</w:t>
      </w:r>
      <w:r w:rsidR="00011D29" w:rsidRPr="00217CA0">
        <w:t>.</w:t>
      </w:r>
    </w:p>
    <w:p w14:paraId="51463F53" w14:textId="77777777" w:rsidR="00011D29" w:rsidRPr="00217CA0" w:rsidRDefault="00011D29" w:rsidP="00011D29">
      <w:pPr>
        <w:pStyle w:val="ListParagraph"/>
        <w:ind w:right="-24" w:firstLine="567"/>
      </w:pPr>
    </w:p>
    <w:p w14:paraId="0EF840ED" w14:textId="77777777" w:rsidR="00011D29" w:rsidRPr="00217CA0" w:rsidRDefault="00011D29" w:rsidP="00011D29">
      <w:pPr>
        <w:pStyle w:val="ListParagraph"/>
        <w:ind w:left="0" w:right="-24" w:firstLine="567"/>
      </w:pPr>
    </w:p>
    <w:p w14:paraId="64DF7B8B" w14:textId="77777777" w:rsidR="00011D29" w:rsidRPr="00217CA0" w:rsidRDefault="00011D29" w:rsidP="00011D29">
      <w:pPr>
        <w:pStyle w:val="Heading2"/>
        <w:spacing w:before="0"/>
        <w:ind w:right="-24" w:firstLine="567"/>
      </w:pPr>
      <w:r w:rsidRPr="00217CA0">
        <w:t>Agriculture, farming and forestry</w:t>
      </w:r>
    </w:p>
    <w:p w14:paraId="6C936D38" w14:textId="77777777" w:rsidR="00011D29" w:rsidRPr="00217CA0" w:rsidRDefault="00011D29" w:rsidP="00011D29">
      <w:pPr>
        <w:ind w:right="-24" w:firstLine="567"/>
      </w:pPr>
    </w:p>
    <w:p w14:paraId="6ED1E27F" w14:textId="2818D0E2" w:rsidR="00011D29" w:rsidRPr="00217CA0" w:rsidRDefault="00011D29" w:rsidP="00011D29">
      <w:pPr>
        <w:pStyle w:val="ListParagraph"/>
        <w:numPr>
          <w:ilvl w:val="1"/>
          <w:numId w:val="11"/>
        </w:numPr>
        <w:suppressAutoHyphens/>
        <w:ind w:left="567" w:right="-24" w:hanging="567"/>
      </w:pPr>
      <w:r w:rsidRPr="008B5A5D">
        <w:t>During</w:t>
      </w:r>
      <w:r w:rsidRPr="00217CA0">
        <w:t xml:space="preserve"> the monitoring period a total of </w:t>
      </w:r>
      <w:r>
        <w:t>2</w:t>
      </w:r>
      <w:r w:rsidR="006A22AB">
        <w:t>0</w:t>
      </w:r>
      <w:r w:rsidRPr="00217CA0">
        <w:t xml:space="preserve"> </w:t>
      </w:r>
      <w:r w:rsidR="006A22AB">
        <w:t>proposals</w:t>
      </w:r>
      <w:r w:rsidRPr="00217CA0">
        <w:t xml:space="preserve"> for agricultural development throughout the National Park were permitted, compared to </w:t>
      </w:r>
      <w:r w:rsidR="00140048">
        <w:t>27</w:t>
      </w:r>
      <w:r w:rsidRPr="00217CA0">
        <w:t xml:space="preserve"> in the previous monitoring period. These </w:t>
      </w:r>
      <w:r w:rsidR="00764A50">
        <w:t xml:space="preserve">mostly </w:t>
      </w:r>
      <w:r w:rsidRPr="00217CA0">
        <w:t>comprised</w:t>
      </w:r>
      <w:r w:rsidR="00764A50">
        <w:t xml:space="preserve"> new agricultural</w:t>
      </w:r>
      <w:r w:rsidR="005003F7">
        <w:t xml:space="preserve"> buildings with a small number of</w:t>
      </w:r>
      <w:r w:rsidRPr="00217CA0">
        <w:t xml:space="preserve"> replacement</w:t>
      </w:r>
      <w:r w:rsidR="006A22AB">
        <w:t xml:space="preserve"> or extended </w:t>
      </w:r>
      <w:r w:rsidR="00764A50">
        <w:t xml:space="preserve">agricultural </w:t>
      </w:r>
      <w:r w:rsidR="00764A50">
        <w:lastRenderedPageBreak/>
        <w:t>buildings</w:t>
      </w:r>
      <w:r>
        <w:t xml:space="preserve">, </w:t>
      </w:r>
      <w:r w:rsidRPr="00217CA0">
        <w:t xml:space="preserve">in line with policies SP48 (The land-based economy) and DP50 (Agricultural and forestry buildings). </w:t>
      </w:r>
    </w:p>
    <w:p w14:paraId="04EB045F" w14:textId="77777777" w:rsidR="00011D29" w:rsidRPr="00217CA0" w:rsidRDefault="00011D29" w:rsidP="00011D29">
      <w:pPr>
        <w:pStyle w:val="ListParagraph"/>
        <w:ind w:right="-164"/>
      </w:pPr>
    </w:p>
    <w:p w14:paraId="47136915" w14:textId="516462EA" w:rsidR="00011D29" w:rsidRPr="00217CA0" w:rsidRDefault="00011D29" w:rsidP="00011D29">
      <w:pPr>
        <w:pStyle w:val="ListParagraph"/>
        <w:numPr>
          <w:ilvl w:val="1"/>
          <w:numId w:val="11"/>
        </w:numPr>
        <w:suppressAutoHyphens/>
        <w:ind w:left="567" w:right="-24" w:hanging="567"/>
      </w:pPr>
      <w:r w:rsidRPr="00217CA0">
        <w:t xml:space="preserve">In </w:t>
      </w:r>
      <w:r w:rsidRPr="008B5A5D">
        <w:t>addition</w:t>
      </w:r>
      <w:r w:rsidRPr="00217CA0">
        <w:t xml:space="preserve">, </w:t>
      </w:r>
      <w:r>
        <w:t>one</w:t>
      </w:r>
      <w:r w:rsidRPr="00217CA0">
        <w:t xml:space="preserve"> commoner’s dwelling w</w:t>
      </w:r>
      <w:r>
        <w:t xml:space="preserve">as </w:t>
      </w:r>
      <w:r w:rsidR="004339D1">
        <w:t>completed in Woodgreen</w:t>
      </w:r>
      <w:r w:rsidRPr="00217CA0">
        <w:t xml:space="preserve"> during the monitoring period</w:t>
      </w:r>
      <w:r w:rsidR="00FF3D52">
        <w:t>.</w:t>
      </w:r>
    </w:p>
    <w:p w14:paraId="4EB329CA" w14:textId="77777777" w:rsidR="00011D29" w:rsidRPr="00217CA0" w:rsidRDefault="00011D29" w:rsidP="00011D29">
      <w:pPr>
        <w:ind w:left="567" w:right="-24" w:hanging="567"/>
      </w:pPr>
    </w:p>
    <w:p w14:paraId="4A56F815" w14:textId="77777777" w:rsidR="00011D29" w:rsidRPr="00217CA0" w:rsidRDefault="00011D29" w:rsidP="00011D29">
      <w:pPr>
        <w:pStyle w:val="Heading2"/>
        <w:spacing w:before="0"/>
        <w:ind w:left="567" w:right="-24" w:hanging="567"/>
      </w:pPr>
      <w:r w:rsidRPr="00217CA0">
        <w:t xml:space="preserve">Recreational </w:t>
      </w:r>
      <w:proofErr w:type="spellStart"/>
      <w:r w:rsidRPr="00217CA0">
        <w:t>horsekeeping</w:t>
      </w:r>
      <w:proofErr w:type="spellEnd"/>
    </w:p>
    <w:p w14:paraId="05782555" w14:textId="77777777" w:rsidR="00011D29" w:rsidRPr="00217CA0" w:rsidRDefault="00011D29" w:rsidP="00011D29">
      <w:pPr>
        <w:pStyle w:val="ListParagraph"/>
        <w:ind w:left="567" w:right="-24" w:hanging="567"/>
      </w:pPr>
    </w:p>
    <w:p w14:paraId="6D3CF056" w14:textId="2E279FEE" w:rsidR="00011D29" w:rsidRDefault="00011D29" w:rsidP="00011D29">
      <w:pPr>
        <w:pStyle w:val="ListParagraph"/>
        <w:numPr>
          <w:ilvl w:val="1"/>
          <w:numId w:val="11"/>
        </w:numPr>
        <w:suppressAutoHyphens/>
        <w:ind w:left="567" w:right="-24" w:hanging="567"/>
      </w:pPr>
      <w:r w:rsidRPr="008B5A5D">
        <w:t>This</w:t>
      </w:r>
      <w:r w:rsidRPr="00217CA0">
        <w:t xml:space="preserve"> monitoring period saw a </w:t>
      </w:r>
      <w:r w:rsidR="00664F26">
        <w:t>much lower</w:t>
      </w:r>
      <w:r w:rsidRPr="00217CA0">
        <w:t xml:space="preserve"> volume of planning permissions granted for recreational </w:t>
      </w:r>
      <w:proofErr w:type="spellStart"/>
      <w:r w:rsidRPr="00217CA0">
        <w:t>horsekeeping</w:t>
      </w:r>
      <w:proofErr w:type="spellEnd"/>
      <w:r w:rsidRPr="00217CA0">
        <w:t xml:space="preserve"> activities and associated development, totalling </w:t>
      </w:r>
      <w:r w:rsidR="00664F26">
        <w:t>nine</w:t>
      </w:r>
      <w:r w:rsidRPr="00217CA0">
        <w:t xml:space="preserve"> applications, </w:t>
      </w:r>
      <w:r w:rsidR="00664F26">
        <w:t xml:space="preserve">compared to 20 in </w:t>
      </w:r>
      <w:r w:rsidRPr="00217CA0">
        <w:t xml:space="preserve">the previous period. </w:t>
      </w:r>
      <w:r w:rsidR="00374EED">
        <w:t>T</w:t>
      </w:r>
      <w:r w:rsidRPr="00217CA0">
        <w:t xml:space="preserve">hese permissions </w:t>
      </w:r>
      <w:r w:rsidR="00374EED">
        <w:t>comprised a mix of</w:t>
      </w:r>
      <w:r w:rsidRPr="00217CA0">
        <w:t xml:space="preserve"> new or </w:t>
      </w:r>
      <w:r w:rsidR="003D7B0A">
        <w:t>extended</w:t>
      </w:r>
      <w:r w:rsidRPr="00217CA0">
        <w:t xml:space="preserve"> stables, </w:t>
      </w:r>
      <w:proofErr w:type="spellStart"/>
      <w:r w:rsidRPr="00217CA0">
        <w:t>maneges</w:t>
      </w:r>
      <w:proofErr w:type="spellEnd"/>
      <w:r w:rsidRPr="00217CA0">
        <w:t xml:space="preserve">, and </w:t>
      </w:r>
      <w:r>
        <w:t>field shelter</w:t>
      </w:r>
      <w:r w:rsidR="003D7B0A">
        <w:t>s</w:t>
      </w:r>
      <w:r w:rsidRPr="00217CA0">
        <w:t xml:space="preserve">, in dispersed locations throughout the National Park. </w:t>
      </w:r>
    </w:p>
    <w:p w14:paraId="55DD17DD" w14:textId="77777777" w:rsidR="00011D29" w:rsidRDefault="00011D29" w:rsidP="00011D29">
      <w:pPr>
        <w:pStyle w:val="ListParagraph"/>
        <w:suppressAutoHyphens/>
        <w:ind w:left="567" w:right="-24"/>
      </w:pPr>
    </w:p>
    <w:p w14:paraId="1DE9669C" w14:textId="6A4AFFED" w:rsidR="00011D29" w:rsidRDefault="00011D29" w:rsidP="00011D29">
      <w:pPr>
        <w:pStyle w:val="ListParagraph"/>
        <w:numPr>
          <w:ilvl w:val="1"/>
          <w:numId w:val="11"/>
        </w:numPr>
        <w:suppressAutoHyphens/>
        <w:ind w:left="567" w:right="-24" w:hanging="567"/>
      </w:pPr>
      <w:r w:rsidRPr="008B5A5D">
        <w:t>Additionally</w:t>
      </w:r>
      <w:r>
        <w:t xml:space="preserve">, planning permission was </w:t>
      </w:r>
      <w:r w:rsidR="009361A6">
        <w:t xml:space="preserve">refused </w:t>
      </w:r>
      <w:r w:rsidR="00542635">
        <w:t>for</w:t>
      </w:r>
      <w:r w:rsidR="009361A6">
        <w:t xml:space="preserve"> a new </w:t>
      </w:r>
      <w:proofErr w:type="spellStart"/>
      <w:r w:rsidR="009361A6">
        <w:t>manege</w:t>
      </w:r>
      <w:proofErr w:type="spellEnd"/>
      <w:r>
        <w:t xml:space="preserve"> </w:t>
      </w:r>
      <w:r w:rsidR="00542635">
        <w:t>in Minstead on the grounds that it was visually intrusive</w:t>
      </w:r>
      <w:r>
        <w:t xml:space="preserve"> </w:t>
      </w:r>
      <w:r w:rsidR="009E1AB1">
        <w:t xml:space="preserve">and </w:t>
      </w:r>
      <w:r w:rsidR="009E1AB1" w:rsidRPr="009E1AB1">
        <w:t>would result in an intensification of use detrimental to the amenity of the occupiers of the neighbouring property</w:t>
      </w:r>
      <w:r w:rsidR="009E1AB1">
        <w:t>. However, this application was subsequently</w:t>
      </w:r>
      <w:r w:rsidR="003172F8">
        <w:t xml:space="preserve"> allowed on appeal.</w:t>
      </w:r>
    </w:p>
    <w:p w14:paraId="4A990BA2" w14:textId="77777777" w:rsidR="003D7B0A" w:rsidRPr="00217CA0" w:rsidRDefault="003D7B0A" w:rsidP="003D7B0A">
      <w:pPr>
        <w:suppressAutoHyphens/>
        <w:ind w:right="-24"/>
      </w:pPr>
    </w:p>
    <w:p w14:paraId="1E1222AD" w14:textId="77777777" w:rsidR="00011D29" w:rsidRPr="00217CA0" w:rsidRDefault="00011D29" w:rsidP="00011D29">
      <w:pPr>
        <w:pStyle w:val="Heading2"/>
        <w:spacing w:before="0"/>
        <w:ind w:left="567" w:right="-24" w:hanging="567"/>
      </w:pPr>
      <w:r w:rsidRPr="00217CA0">
        <w:t>Visitor facilities and accommodation</w:t>
      </w:r>
    </w:p>
    <w:p w14:paraId="38C8FC92" w14:textId="77777777" w:rsidR="00011D29" w:rsidRPr="00217CA0" w:rsidRDefault="00011D29" w:rsidP="00011D29">
      <w:pPr>
        <w:ind w:left="567" w:right="-24" w:hanging="567"/>
      </w:pPr>
    </w:p>
    <w:p w14:paraId="118E4FF3" w14:textId="731B9604" w:rsidR="00011D29" w:rsidRPr="00217CA0" w:rsidRDefault="00011D29" w:rsidP="00011D29">
      <w:pPr>
        <w:pStyle w:val="ListParagraph"/>
        <w:numPr>
          <w:ilvl w:val="1"/>
          <w:numId w:val="11"/>
        </w:numPr>
        <w:suppressAutoHyphens/>
        <w:ind w:left="567" w:hanging="567"/>
      </w:pPr>
      <w:r w:rsidRPr="008B5A5D">
        <w:t>There</w:t>
      </w:r>
      <w:r w:rsidRPr="00217CA0">
        <w:t xml:space="preserve"> were </w:t>
      </w:r>
      <w:r w:rsidR="003C6F00">
        <w:t>no</w:t>
      </w:r>
      <w:r w:rsidRPr="00217CA0">
        <w:t xml:space="preserve"> new visitor services </w:t>
      </w:r>
      <w:r w:rsidR="003C6F00">
        <w:t>but a few</w:t>
      </w:r>
      <w:r w:rsidRPr="00217CA0">
        <w:t xml:space="preserve"> improvements to existing facilities completed during the monitoring period</w:t>
      </w:r>
      <w:r w:rsidR="003C6F00">
        <w:t>,</w:t>
      </w:r>
      <w:r w:rsidR="005214F2">
        <w:t xml:space="preserve"> including the Tile Barn Outdoor Centre in Brockenhurst</w:t>
      </w:r>
      <w:r w:rsidRPr="00217CA0">
        <w:t xml:space="preserve">. </w:t>
      </w:r>
      <w:r w:rsidR="007E374F">
        <w:t>Additionally</w:t>
      </w:r>
      <w:r w:rsidRPr="00217CA0">
        <w:t xml:space="preserve">, </w:t>
      </w:r>
      <w:r w:rsidR="00104035">
        <w:t xml:space="preserve">a </w:t>
      </w:r>
      <w:r w:rsidR="00492FCD">
        <w:t>couple of</w:t>
      </w:r>
      <w:r w:rsidR="00104035">
        <w:t xml:space="preserve"> </w:t>
      </w:r>
      <w:r w:rsidRPr="00217CA0">
        <w:t xml:space="preserve">permissions were granted for </w:t>
      </w:r>
      <w:r>
        <w:t xml:space="preserve">refurbishment and additional accommodation </w:t>
      </w:r>
      <w:r w:rsidR="00016BD6">
        <w:t>with one change of use from a guesthouse to a</w:t>
      </w:r>
      <w:r w:rsidR="000E34A0">
        <w:t xml:space="preserve"> single residential dwelling.</w:t>
      </w:r>
      <w:r w:rsidRPr="00217CA0">
        <w:t xml:space="preserve"> </w:t>
      </w:r>
      <w:r w:rsidR="00900A76">
        <w:t>Furthermore</w:t>
      </w:r>
      <w:r>
        <w:t xml:space="preserve">, there were </w:t>
      </w:r>
      <w:r w:rsidR="00EC2E66">
        <w:t>approvals</w:t>
      </w:r>
      <w:r>
        <w:t xml:space="preserve"> for</w:t>
      </w:r>
      <w:r w:rsidR="00EC2E66">
        <w:t xml:space="preserve"> 20</w:t>
      </w:r>
      <w:r>
        <w:t xml:space="preserve"> temporary and seasonal campsites throughout the National Park, arising from the implementation of the Article 4 Direction removing permitted development rights</w:t>
      </w:r>
      <w:r w:rsidRPr="00217CA0">
        <w:t>.</w:t>
      </w:r>
      <w:r>
        <w:t xml:space="preserve"> </w:t>
      </w:r>
    </w:p>
    <w:p w14:paraId="5BD94E87" w14:textId="77777777" w:rsidR="00011D29" w:rsidRPr="00217CA0" w:rsidRDefault="00011D29" w:rsidP="00011D29">
      <w:pPr>
        <w:jc w:val="both"/>
      </w:pPr>
    </w:p>
    <w:p w14:paraId="3AA67F0A" w14:textId="77777777" w:rsidR="00011D29" w:rsidRPr="00217CA0" w:rsidRDefault="00011D29" w:rsidP="00011D29">
      <w:pPr>
        <w:rPr>
          <w:b/>
        </w:rPr>
      </w:pPr>
    </w:p>
    <w:p w14:paraId="20646EFD" w14:textId="77777777" w:rsidR="00011D29" w:rsidRPr="00217CA0" w:rsidRDefault="00011D29" w:rsidP="00011D29">
      <w:pPr>
        <w:pStyle w:val="Heading2"/>
        <w:spacing w:before="0"/>
        <w:ind w:firstLine="567"/>
      </w:pPr>
      <w:r w:rsidRPr="00DA3C76">
        <w:t>Performance</w:t>
      </w:r>
      <w:r w:rsidRPr="00217CA0">
        <w:t xml:space="preserve"> of economic policies</w:t>
      </w:r>
    </w:p>
    <w:p w14:paraId="480296E8" w14:textId="77777777" w:rsidR="00011D29" w:rsidRPr="00217CA0" w:rsidRDefault="00011D29" w:rsidP="00011D29">
      <w:pPr>
        <w:pStyle w:val="ListParagraph"/>
      </w:pPr>
    </w:p>
    <w:p w14:paraId="323CC81E" w14:textId="77777777" w:rsidR="0021550A" w:rsidRDefault="004006D2" w:rsidP="00011D29">
      <w:pPr>
        <w:pStyle w:val="ListParagraph"/>
        <w:numPr>
          <w:ilvl w:val="1"/>
          <w:numId w:val="11"/>
        </w:numPr>
        <w:suppressAutoHyphens/>
        <w:ind w:left="567" w:hanging="567"/>
      </w:pPr>
      <w:r>
        <w:t>T</w:t>
      </w:r>
      <w:r w:rsidR="00011D29" w:rsidRPr="00217CA0">
        <w:t xml:space="preserve">here was </w:t>
      </w:r>
      <w:r>
        <w:t>a small</w:t>
      </w:r>
      <w:r w:rsidR="00011D29" w:rsidRPr="00217CA0">
        <w:t xml:space="preserve"> increase in employment floorspace in this monitoring period, </w:t>
      </w:r>
      <w:r w:rsidR="0021550A">
        <w:t>together with</w:t>
      </w:r>
      <w:r w:rsidR="00011D29" w:rsidRPr="00217CA0">
        <w:t xml:space="preserve"> a stock of sites with planning permission for a range of business and industrial uses throughout the National Park. </w:t>
      </w:r>
    </w:p>
    <w:p w14:paraId="0C5D2A8B" w14:textId="77777777" w:rsidR="0021550A" w:rsidRDefault="0021550A" w:rsidP="0021550A">
      <w:pPr>
        <w:pStyle w:val="ListParagraph"/>
        <w:suppressAutoHyphens/>
        <w:ind w:left="567"/>
      </w:pPr>
    </w:p>
    <w:p w14:paraId="2664288F" w14:textId="63EA3DAE" w:rsidR="00011D29" w:rsidRPr="00217CA0" w:rsidRDefault="00011D29" w:rsidP="00011D29">
      <w:pPr>
        <w:pStyle w:val="ListParagraph"/>
        <w:numPr>
          <w:ilvl w:val="1"/>
          <w:numId w:val="11"/>
        </w:numPr>
        <w:suppressAutoHyphens/>
        <w:ind w:left="567" w:hanging="567"/>
      </w:pPr>
      <w:r>
        <w:t xml:space="preserve">As part of the review of the Local Plan an economic needs assessment has been jointly commissioned with New Forest District Council to provide an understanding of the sector needs and existing capacity. </w:t>
      </w:r>
      <w:r w:rsidR="003524DE">
        <w:t xml:space="preserve">This has identified a future need of around </w:t>
      </w:r>
      <w:r w:rsidR="001D7BC7">
        <w:t xml:space="preserve">13,000 </w:t>
      </w:r>
      <w:proofErr w:type="spellStart"/>
      <w:r w:rsidR="001D7BC7">
        <w:t>sq.m</w:t>
      </w:r>
      <w:proofErr w:type="spellEnd"/>
      <w:r w:rsidR="001D7BC7">
        <w:t xml:space="preserve">. of employment floorspace in the National Park in the period up to 2043. </w:t>
      </w:r>
      <w:r w:rsidR="00F63276">
        <w:t xml:space="preserve"> </w:t>
      </w:r>
      <w:r w:rsidR="006D1DC8">
        <w:t>It is considered that the approach of relying on windfall sites is no longer appropriate, especially given the loss of</w:t>
      </w:r>
      <w:r w:rsidR="00DE6018">
        <w:t xml:space="preserve"> offices to residential </w:t>
      </w:r>
      <w:r w:rsidR="006E2827">
        <w:t xml:space="preserve">uses </w:t>
      </w:r>
      <w:r w:rsidR="00DE6018">
        <w:t xml:space="preserve">over the last </w:t>
      </w:r>
      <w:r w:rsidR="00CE52B4">
        <w:t xml:space="preserve">ten years </w:t>
      </w:r>
      <w:proofErr w:type="gramStart"/>
      <w:r w:rsidR="00CE52B4">
        <w:t>through the use of</w:t>
      </w:r>
      <w:proofErr w:type="gramEnd"/>
      <w:r w:rsidR="006D1DC8">
        <w:t xml:space="preserve"> permitted development rights</w:t>
      </w:r>
      <w:r>
        <w:t>.</w:t>
      </w:r>
      <w:r w:rsidR="00BF3CCE">
        <w:t xml:space="preserve"> </w:t>
      </w:r>
      <w:r w:rsidR="008B5A5D">
        <w:t>Consequently,</w:t>
      </w:r>
      <w:r w:rsidR="00BF3CCE">
        <w:t xml:space="preserve"> a site at Fawley has been allocated for employment uses</w:t>
      </w:r>
      <w:r w:rsidR="006C3516">
        <w:t xml:space="preserve"> in the emerging Local Plan review.</w:t>
      </w:r>
    </w:p>
    <w:p w14:paraId="6B74CD77" w14:textId="77777777" w:rsidR="00011D29" w:rsidRPr="00217CA0" w:rsidRDefault="00011D29" w:rsidP="00011D29">
      <w:pPr>
        <w:pStyle w:val="ListParagraph"/>
        <w:ind w:left="567" w:hanging="567"/>
      </w:pPr>
    </w:p>
    <w:p w14:paraId="112301F1" w14:textId="77777777" w:rsidR="00011D29" w:rsidRPr="00217CA0" w:rsidRDefault="00011D29" w:rsidP="006C3516"/>
    <w:p w14:paraId="2F3C64A6" w14:textId="77777777" w:rsidR="00011D29" w:rsidRPr="00DA3C76" w:rsidRDefault="00011D29" w:rsidP="00011D29">
      <w:pPr>
        <w:pStyle w:val="Heading1"/>
        <w:numPr>
          <w:ilvl w:val="0"/>
          <w:numId w:val="11"/>
        </w:numPr>
        <w:ind w:left="567" w:hanging="567"/>
      </w:pPr>
      <w:bookmarkStart w:id="12" w:name="_Toc92364678"/>
      <w:r w:rsidRPr="00DA3C76">
        <w:lastRenderedPageBreak/>
        <w:t>Conclusions</w:t>
      </w:r>
      <w:bookmarkEnd w:id="12"/>
      <w:r w:rsidRPr="00DA3C76">
        <w:t xml:space="preserve"> </w:t>
      </w:r>
    </w:p>
    <w:p w14:paraId="3AEE0E38" w14:textId="77777777" w:rsidR="00011D29" w:rsidRPr="00217CA0" w:rsidRDefault="00011D29" w:rsidP="00011D29">
      <w:pPr>
        <w:pStyle w:val="ListParagraph"/>
      </w:pPr>
    </w:p>
    <w:p w14:paraId="59A452FC" w14:textId="77777777" w:rsidR="00011D29" w:rsidRPr="00217CA0" w:rsidRDefault="00011D29" w:rsidP="00011D29">
      <w:pPr>
        <w:pStyle w:val="ListParagraph"/>
        <w:numPr>
          <w:ilvl w:val="1"/>
          <w:numId w:val="11"/>
        </w:numPr>
        <w:suppressAutoHyphens/>
        <w:ind w:left="567" w:hanging="567"/>
      </w:pPr>
      <w:r w:rsidRPr="00217CA0">
        <w:t xml:space="preserve">This report assesses the performance of the policies in the Local Plan during the monitoring period. </w:t>
      </w:r>
    </w:p>
    <w:p w14:paraId="101062D2" w14:textId="77777777" w:rsidR="00011D29" w:rsidRPr="00217CA0" w:rsidRDefault="00011D29" w:rsidP="00011D29">
      <w:pPr>
        <w:pStyle w:val="ListParagraph"/>
        <w:ind w:left="567" w:hanging="567"/>
      </w:pPr>
    </w:p>
    <w:p w14:paraId="5FABBA86" w14:textId="77777777" w:rsidR="00011D29" w:rsidRPr="00217CA0" w:rsidRDefault="00011D29" w:rsidP="00011D29">
      <w:pPr>
        <w:pStyle w:val="ListParagraph"/>
        <w:numPr>
          <w:ilvl w:val="1"/>
          <w:numId w:val="11"/>
        </w:numPr>
        <w:suppressAutoHyphens/>
        <w:ind w:left="567" w:hanging="567"/>
      </w:pPr>
      <w:r w:rsidRPr="00217CA0">
        <w:t xml:space="preserve">As can be seen in the previous chapters of this report many of the policies are performing </w:t>
      </w:r>
      <w:proofErr w:type="gramStart"/>
      <w:r w:rsidRPr="00217CA0">
        <w:t>well, and</w:t>
      </w:r>
      <w:proofErr w:type="gramEnd"/>
      <w:r w:rsidRPr="00217CA0">
        <w:t xml:space="preserve"> continue broad trends of protection and enhancement of the area. The communities in the National Park continue to be supported through the provision of appropriate levels of housing as well as new or improved community facilities and associated infrastructure.</w:t>
      </w:r>
    </w:p>
    <w:p w14:paraId="5A1F9546" w14:textId="77777777" w:rsidR="00011D29" w:rsidRPr="00217CA0" w:rsidRDefault="00011D29" w:rsidP="00011D29">
      <w:pPr>
        <w:pStyle w:val="ListParagraph"/>
        <w:ind w:left="567" w:hanging="567"/>
      </w:pPr>
    </w:p>
    <w:p w14:paraId="08AE7C2B" w14:textId="54DF07F3" w:rsidR="00011D29" w:rsidRPr="00217CA0" w:rsidRDefault="00011D29" w:rsidP="00011D29">
      <w:pPr>
        <w:pStyle w:val="ListParagraph"/>
        <w:numPr>
          <w:ilvl w:val="1"/>
          <w:numId w:val="11"/>
        </w:numPr>
        <w:suppressAutoHyphens/>
        <w:ind w:left="567" w:hanging="567"/>
      </w:pPr>
      <w:r w:rsidRPr="00217CA0">
        <w:t xml:space="preserve">There were increases in housing </w:t>
      </w:r>
      <w:r w:rsidR="00CF404F">
        <w:t xml:space="preserve">and employment </w:t>
      </w:r>
      <w:r w:rsidRPr="00217CA0">
        <w:t>completions this year</w:t>
      </w:r>
      <w:r w:rsidR="003D4F8D">
        <w:t>, including affordable housing</w:t>
      </w:r>
      <w:r>
        <w:t xml:space="preserve">. </w:t>
      </w:r>
      <w:r w:rsidR="003D4F8D">
        <w:t>T</w:t>
      </w:r>
      <w:r w:rsidRPr="00217CA0">
        <w:t xml:space="preserve">here also remains a </w:t>
      </w:r>
      <w:r w:rsidR="003D4F8D">
        <w:t xml:space="preserve">healthy </w:t>
      </w:r>
      <w:r w:rsidRPr="00217CA0">
        <w:t>stock of sites with planning permission for housing or employment uses.</w:t>
      </w:r>
      <w:r w:rsidR="00737803">
        <w:t xml:space="preserve"> Evidence base studies for the </w:t>
      </w:r>
      <w:r w:rsidR="00D34CB5">
        <w:t xml:space="preserve">emerging Local Plan review have assessed the future needs of housing and employment uses for the National </w:t>
      </w:r>
      <w:proofErr w:type="gramStart"/>
      <w:r w:rsidR="00D34CB5">
        <w:t>Park, and</w:t>
      </w:r>
      <w:proofErr w:type="gramEnd"/>
      <w:r w:rsidR="00D34CB5">
        <w:t xml:space="preserve"> </w:t>
      </w:r>
      <w:r w:rsidR="00FD0EF0">
        <w:t xml:space="preserve">identified how </w:t>
      </w:r>
      <w:r w:rsidR="008050D9">
        <w:t>a small step increase in growth can be accommodated across the National Park. Th</w:t>
      </w:r>
      <w:r w:rsidR="002A619F">
        <w:t>e Authori</w:t>
      </w:r>
      <w:r w:rsidR="00581FFA">
        <w:t xml:space="preserve">ty will continue to engage and </w:t>
      </w:r>
      <w:r w:rsidR="008050D9">
        <w:t>consult</w:t>
      </w:r>
      <w:r w:rsidR="00581FFA">
        <w:t xml:space="preserve"> with communities and statutory bodies on these issues</w:t>
      </w:r>
      <w:r w:rsidR="008050D9">
        <w:t xml:space="preserve"> as part of the </w:t>
      </w:r>
      <w:r w:rsidR="004553FB">
        <w:t>process of reviewing the Authority’s</w:t>
      </w:r>
      <w:r w:rsidR="002A619F">
        <w:t xml:space="preserve"> Local Plan.</w:t>
      </w:r>
      <w:r w:rsidR="00243802">
        <w:t xml:space="preserve"> More details of that process can be found on our </w:t>
      </w:r>
      <w:hyperlink r:id="rId30" w:history="1">
        <w:r w:rsidR="00243802" w:rsidRPr="00520B19">
          <w:rPr>
            <w:rStyle w:val="Hyperlink"/>
            <w:rFonts w:cs="Arial"/>
          </w:rPr>
          <w:t>website</w:t>
        </w:r>
      </w:hyperlink>
      <w:r w:rsidR="00243802">
        <w:t>.</w:t>
      </w:r>
    </w:p>
    <w:p w14:paraId="28DE3A04" w14:textId="77777777" w:rsidR="00011D29" w:rsidRPr="00217CA0" w:rsidRDefault="00011D29" w:rsidP="00011D29">
      <w:pPr>
        <w:pStyle w:val="ListParagraph"/>
        <w:ind w:left="567" w:hanging="567"/>
      </w:pPr>
    </w:p>
    <w:p w14:paraId="70646E5D" w14:textId="77777777" w:rsidR="00011D29" w:rsidRPr="00217CA0" w:rsidRDefault="00011D29" w:rsidP="00011D29">
      <w:pPr>
        <w:pStyle w:val="ListParagraph"/>
        <w:numPr>
          <w:ilvl w:val="1"/>
          <w:numId w:val="11"/>
        </w:numPr>
        <w:suppressAutoHyphens/>
        <w:ind w:left="567" w:hanging="567"/>
      </w:pPr>
      <w:r w:rsidRPr="00217CA0">
        <w:t xml:space="preserve">The conclusion of this year’s monitoring shows that the Local Plan policies are </w:t>
      </w:r>
      <w:r>
        <w:t xml:space="preserve">broadly </w:t>
      </w:r>
      <w:r w:rsidRPr="00217CA0">
        <w:t>continuing to perform effectively and are achieving the Local Plan’s objectives</w:t>
      </w:r>
      <w:r>
        <w:t xml:space="preserve"> as well as aligning with the objectives of the New Forest National Park Partnership Plan</w:t>
      </w:r>
      <w:r w:rsidRPr="00217CA0">
        <w:t>, supporting the New Forest National Park’s purposes and special qualities.</w:t>
      </w:r>
    </w:p>
    <w:p w14:paraId="57EAC77E" w14:textId="77777777" w:rsidR="00011D29" w:rsidRPr="00217CA0" w:rsidRDefault="00011D29" w:rsidP="00011D29">
      <w:pPr>
        <w:pStyle w:val="ListParagraph"/>
      </w:pPr>
    </w:p>
    <w:p w14:paraId="64F40137" w14:textId="77777777" w:rsidR="00011D29" w:rsidRPr="00217CA0" w:rsidRDefault="00011D29" w:rsidP="00011D29"/>
    <w:p w14:paraId="7FDF9004" w14:textId="77777777" w:rsidR="00011D29" w:rsidRPr="00217CA0" w:rsidRDefault="00011D29" w:rsidP="00011D29">
      <w:r w:rsidRPr="00217CA0">
        <w:br w:type="page"/>
      </w:r>
    </w:p>
    <w:p w14:paraId="3EA4DF04" w14:textId="77777777" w:rsidR="00011D29" w:rsidRPr="00217CA0" w:rsidRDefault="00011D29" w:rsidP="00011D29">
      <w:pPr>
        <w:rPr>
          <w:b/>
          <w:sz w:val="28"/>
          <w:szCs w:val="28"/>
        </w:rPr>
        <w:sectPr w:rsidR="00011D29" w:rsidRPr="00217CA0" w:rsidSect="00011D29">
          <w:footerReference w:type="default" r:id="rId31"/>
          <w:pgSz w:w="11906" w:h="16838"/>
          <w:pgMar w:top="1276" w:right="1559" w:bottom="1440" w:left="1440" w:header="709" w:footer="709" w:gutter="0"/>
          <w:cols w:space="708"/>
          <w:titlePg/>
          <w:docGrid w:linePitch="360"/>
        </w:sectPr>
      </w:pPr>
    </w:p>
    <w:p w14:paraId="560C7624" w14:textId="77777777" w:rsidR="00011D29" w:rsidRPr="00217CA0" w:rsidRDefault="00011D29" w:rsidP="00011D29">
      <w:pPr>
        <w:pStyle w:val="Heading1"/>
      </w:pPr>
      <w:bookmarkStart w:id="13" w:name="_Toc92364679"/>
      <w:r w:rsidRPr="00217CA0">
        <w:lastRenderedPageBreak/>
        <w:t>APPENDIX 1: Key Local Plan Indicators</w:t>
      </w:r>
      <w:bookmarkEnd w:id="13"/>
      <w:r w:rsidRPr="00217CA0">
        <w:t xml:space="preserve"> </w:t>
      </w:r>
    </w:p>
    <w:p w14:paraId="371D2D2D" w14:textId="77777777" w:rsidR="00011D29" w:rsidRPr="00217CA0" w:rsidRDefault="00011D29" w:rsidP="00011D29">
      <w:pPr>
        <w:rPr>
          <w:sz w:val="16"/>
          <w:szCs w:val="16"/>
        </w:rPr>
      </w:pPr>
    </w:p>
    <w:p w14:paraId="755AF8FA" w14:textId="77777777" w:rsidR="00011D29" w:rsidRPr="00217CA0" w:rsidRDefault="00011D29" w:rsidP="00011D29">
      <w:r w:rsidRPr="00217CA0">
        <w:t>Key:</w:t>
      </w:r>
    </w:p>
    <w:tbl>
      <w:tblPr>
        <w:tblW w:w="1028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1681"/>
        <w:gridCol w:w="554"/>
        <w:gridCol w:w="2422"/>
        <w:gridCol w:w="554"/>
        <w:gridCol w:w="1998"/>
        <w:gridCol w:w="554"/>
        <w:gridCol w:w="1966"/>
      </w:tblGrid>
      <w:tr w:rsidR="00011D29" w:rsidRPr="00217CA0" w14:paraId="13350468" w14:textId="77777777" w:rsidTr="00A006A3">
        <w:tc>
          <w:tcPr>
            <w:tcW w:w="554" w:type="dxa"/>
            <w:shd w:val="clear" w:color="auto" w:fill="008000"/>
          </w:tcPr>
          <w:p w14:paraId="3E0E82A9" w14:textId="77777777" w:rsidR="00011D29" w:rsidRPr="00217CA0" w:rsidRDefault="00011D29" w:rsidP="00A006A3">
            <w:pPr>
              <w:rPr>
                <w:sz w:val="40"/>
                <w:szCs w:val="40"/>
              </w:rPr>
            </w:pPr>
          </w:p>
        </w:tc>
        <w:tc>
          <w:tcPr>
            <w:tcW w:w="1681" w:type="dxa"/>
            <w:vAlign w:val="center"/>
          </w:tcPr>
          <w:p w14:paraId="4DB76057" w14:textId="77777777" w:rsidR="00011D29" w:rsidRPr="00217CA0" w:rsidRDefault="00011D29" w:rsidP="00A006A3">
            <w:pPr>
              <w:ind w:right="-108"/>
              <w:rPr>
                <w:sz w:val="20"/>
                <w:szCs w:val="20"/>
              </w:rPr>
            </w:pPr>
            <w:r w:rsidRPr="00217CA0">
              <w:rPr>
                <w:sz w:val="20"/>
                <w:szCs w:val="20"/>
              </w:rPr>
              <w:t>Aim achieved</w:t>
            </w:r>
          </w:p>
        </w:tc>
        <w:tc>
          <w:tcPr>
            <w:tcW w:w="554" w:type="dxa"/>
            <w:shd w:val="clear" w:color="auto" w:fill="FF9900"/>
          </w:tcPr>
          <w:p w14:paraId="0EF7C65F" w14:textId="77777777" w:rsidR="00011D29" w:rsidRPr="00217CA0" w:rsidRDefault="00011D29" w:rsidP="00A006A3">
            <w:pPr>
              <w:rPr>
                <w:color w:val="FFFFFF"/>
                <w:sz w:val="40"/>
                <w:szCs w:val="40"/>
              </w:rPr>
            </w:pPr>
          </w:p>
        </w:tc>
        <w:tc>
          <w:tcPr>
            <w:tcW w:w="2422" w:type="dxa"/>
            <w:vAlign w:val="center"/>
          </w:tcPr>
          <w:p w14:paraId="5281D90B" w14:textId="77777777" w:rsidR="00011D29" w:rsidRPr="00217CA0" w:rsidRDefault="00011D29" w:rsidP="00A006A3">
            <w:pPr>
              <w:ind w:right="-108"/>
              <w:rPr>
                <w:sz w:val="20"/>
                <w:szCs w:val="20"/>
              </w:rPr>
            </w:pPr>
            <w:r w:rsidRPr="00217CA0">
              <w:rPr>
                <w:sz w:val="20"/>
                <w:szCs w:val="20"/>
              </w:rPr>
              <w:t>Aim partially achieved</w:t>
            </w:r>
          </w:p>
        </w:tc>
        <w:tc>
          <w:tcPr>
            <w:tcW w:w="554" w:type="dxa"/>
            <w:shd w:val="clear" w:color="auto" w:fill="FF0000"/>
          </w:tcPr>
          <w:p w14:paraId="5A704D1E" w14:textId="77777777" w:rsidR="00011D29" w:rsidRPr="00217CA0" w:rsidRDefault="00011D29" w:rsidP="00A006A3">
            <w:pPr>
              <w:rPr>
                <w:sz w:val="40"/>
                <w:szCs w:val="40"/>
              </w:rPr>
            </w:pPr>
          </w:p>
        </w:tc>
        <w:tc>
          <w:tcPr>
            <w:tcW w:w="1998" w:type="dxa"/>
            <w:vAlign w:val="center"/>
          </w:tcPr>
          <w:p w14:paraId="214B54BD" w14:textId="77777777" w:rsidR="00011D29" w:rsidRPr="00217CA0" w:rsidRDefault="00011D29" w:rsidP="00A006A3">
            <w:pPr>
              <w:rPr>
                <w:sz w:val="20"/>
                <w:szCs w:val="20"/>
              </w:rPr>
            </w:pPr>
            <w:r w:rsidRPr="00217CA0">
              <w:rPr>
                <w:sz w:val="20"/>
                <w:szCs w:val="20"/>
              </w:rPr>
              <w:t>Aim not achieved</w:t>
            </w:r>
          </w:p>
        </w:tc>
        <w:tc>
          <w:tcPr>
            <w:tcW w:w="554" w:type="dxa"/>
          </w:tcPr>
          <w:p w14:paraId="61FE8C28" w14:textId="77777777" w:rsidR="00011D29" w:rsidRPr="00217CA0" w:rsidRDefault="00011D29" w:rsidP="00A006A3">
            <w:pPr>
              <w:rPr>
                <w:sz w:val="40"/>
                <w:szCs w:val="40"/>
              </w:rPr>
            </w:pPr>
          </w:p>
        </w:tc>
        <w:tc>
          <w:tcPr>
            <w:tcW w:w="1966" w:type="dxa"/>
            <w:vAlign w:val="center"/>
          </w:tcPr>
          <w:p w14:paraId="7D53CEE4" w14:textId="77777777" w:rsidR="00011D29" w:rsidRPr="00217CA0" w:rsidRDefault="00011D29" w:rsidP="00A006A3">
            <w:pPr>
              <w:rPr>
                <w:sz w:val="20"/>
                <w:szCs w:val="20"/>
              </w:rPr>
            </w:pPr>
            <w:r w:rsidRPr="00217CA0">
              <w:rPr>
                <w:sz w:val="20"/>
                <w:szCs w:val="20"/>
              </w:rPr>
              <w:t>Neutral / Unknown</w:t>
            </w:r>
          </w:p>
        </w:tc>
      </w:tr>
    </w:tbl>
    <w:p w14:paraId="73F6BBC1" w14:textId="77777777" w:rsidR="00011D29" w:rsidRPr="00217CA0" w:rsidRDefault="00011D29" w:rsidP="00011D29">
      <w:pPr>
        <w:rPr>
          <w:b/>
          <w:sz w:val="28"/>
          <w:szCs w:val="28"/>
        </w:rPr>
      </w:pPr>
    </w:p>
    <w:p w14:paraId="5B8DE13C" w14:textId="77777777" w:rsidR="00011D29" w:rsidRPr="00217CA0" w:rsidRDefault="00011D29" w:rsidP="00011D29">
      <w:pPr>
        <w:shd w:val="clear" w:color="auto" w:fill="D9D9D9" w:themeFill="background1" w:themeFillShade="D9"/>
        <w:ind w:left="-567" w:right="-217"/>
        <w:rPr>
          <w:b/>
        </w:rPr>
      </w:pPr>
      <w:r w:rsidRPr="00217CA0">
        <w:rPr>
          <w:b/>
        </w:rPr>
        <w:t>Protecting and Enhancing the Natural Environment</w:t>
      </w:r>
    </w:p>
    <w:p w14:paraId="6D069A07" w14:textId="77777777" w:rsidR="00011D29" w:rsidRPr="00217CA0" w:rsidRDefault="00011D29" w:rsidP="00011D29">
      <w:pPr>
        <w:rPr>
          <w:b/>
          <w:sz w:val="28"/>
          <w:szCs w:val="28"/>
        </w:rPr>
      </w:pPr>
    </w:p>
    <w:tbl>
      <w:tblPr>
        <w:tblStyle w:val="TableGrid"/>
        <w:tblW w:w="14742" w:type="dxa"/>
        <w:tblInd w:w="-459" w:type="dxa"/>
        <w:tblLayout w:type="fixed"/>
        <w:tblLook w:val="04A0" w:firstRow="1" w:lastRow="0" w:firstColumn="1" w:lastColumn="0" w:noHBand="0" w:noVBand="1"/>
      </w:tblPr>
      <w:tblGrid>
        <w:gridCol w:w="4678"/>
        <w:gridCol w:w="4565"/>
        <w:gridCol w:w="1417"/>
        <w:gridCol w:w="3544"/>
        <w:gridCol w:w="538"/>
      </w:tblGrid>
      <w:tr w:rsidR="00011D29" w:rsidRPr="00217CA0" w14:paraId="7202B605" w14:textId="77777777" w:rsidTr="00A006A3">
        <w:tc>
          <w:tcPr>
            <w:tcW w:w="4678" w:type="dxa"/>
            <w:shd w:val="clear" w:color="auto" w:fill="F2F2F2" w:themeFill="background1" w:themeFillShade="F2"/>
          </w:tcPr>
          <w:p w14:paraId="314FF994" w14:textId="77777777" w:rsidR="00011D29" w:rsidRPr="00217CA0" w:rsidRDefault="00011D29" w:rsidP="00A006A3">
            <w:pPr>
              <w:ind w:right="-108"/>
              <w:rPr>
                <w:b/>
                <w:sz w:val="22"/>
              </w:rPr>
            </w:pPr>
            <w:r w:rsidRPr="00217CA0">
              <w:rPr>
                <w:b/>
                <w:sz w:val="22"/>
              </w:rPr>
              <w:t>Indicator</w:t>
            </w:r>
          </w:p>
        </w:tc>
        <w:tc>
          <w:tcPr>
            <w:tcW w:w="4565" w:type="dxa"/>
            <w:shd w:val="clear" w:color="auto" w:fill="F2F2F2" w:themeFill="background1" w:themeFillShade="F2"/>
          </w:tcPr>
          <w:p w14:paraId="64266021" w14:textId="77777777" w:rsidR="00011D29" w:rsidRPr="00217CA0" w:rsidRDefault="00011D29" w:rsidP="00A006A3">
            <w:pPr>
              <w:rPr>
                <w:b/>
                <w:sz w:val="22"/>
              </w:rPr>
            </w:pPr>
            <w:r w:rsidRPr="00217CA0">
              <w:rPr>
                <w:b/>
                <w:sz w:val="22"/>
              </w:rPr>
              <w:t>Target</w:t>
            </w:r>
          </w:p>
        </w:tc>
        <w:tc>
          <w:tcPr>
            <w:tcW w:w="1417" w:type="dxa"/>
            <w:tcBorders>
              <w:right w:val="single" w:sz="4" w:space="0" w:color="auto"/>
            </w:tcBorders>
            <w:shd w:val="clear" w:color="auto" w:fill="F2F2F2" w:themeFill="background1" w:themeFillShade="F2"/>
          </w:tcPr>
          <w:p w14:paraId="2F42C920" w14:textId="77777777" w:rsidR="00011D29" w:rsidRPr="00217CA0" w:rsidRDefault="00011D29" w:rsidP="00A006A3">
            <w:pPr>
              <w:ind w:right="-108"/>
              <w:rPr>
                <w:b/>
                <w:sz w:val="22"/>
              </w:rPr>
            </w:pPr>
            <w:r w:rsidRPr="00217CA0">
              <w:rPr>
                <w:b/>
                <w:sz w:val="22"/>
              </w:rPr>
              <w:t>Local Plan policies</w:t>
            </w:r>
          </w:p>
        </w:tc>
        <w:tc>
          <w:tcPr>
            <w:tcW w:w="3544" w:type="dxa"/>
            <w:tcBorders>
              <w:left w:val="single" w:sz="4" w:space="0" w:color="auto"/>
            </w:tcBorders>
            <w:shd w:val="clear" w:color="auto" w:fill="F2F2F2" w:themeFill="background1" w:themeFillShade="F2"/>
          </w:tcPr>
          <w:p w14:paraId="302AA31F" w14:textId="77777777" w:rsidR="00011D29" w:rsidRPr="00217CA0" w:rsidRDefault="00011D29" w:rsidP="00A006A3">
            <w:pPr>
              <w:rPr>
                <w:b/>
                <w:sz w:val="22"/>
              </w:rPr>
            </w:pPr>
            <w:r w:rsidRPr="00217CA0">
              <w:rPr>
                <w:b/>
                <w:sz w:val="22"/>
              </w:rPr>
              <w:t>Outcome</w:t>
            </w:r>
          </w:p>
        </w:tc>
        <w:tc>
          <w:tcPr>
            <w:tcW w:w="538" w:type="dxa"/>
            <w:shd w:val="clear" w:color="auto" w:fill="F2F2F2" w:themeFill="background1" w:themeFillShade="F2"/>
          </w:tcPr>
          <w:p w14:paraId="6EC0B593" w14:textId="77777777" w:rsidR="00011D29" w:rsidRPr="00217CA0" w:rsidRDefault="00011D29" w:rsidP="00A006A3">
            <w:pPr>
              <w:rPr>
                <w:b/>
                <w:sz w:val="22"/>
              </w:rPr>
            </w:pPr>
          </w:p>
        </w:tc>
      </w:tr>
      <w:tr w:rsidR="00011D29" w:rsidRPr="00217CA0" w14:paraId="63D6D38E" w14:textId="77777777" w:rsidTr="00A006A3">
        <w:trPr>
          <w:trHeight w:val="547"/>
        </w:trPr>
        <w:tc>
          <w:tcPr>
            <w:tcW w:w="4678" w:type="dxa"/>
            <w:tcBorders>
              <w:bottom w:val="single" w:sz="4" w:space="0" w:color="auto"/>
            </w:tcBorders>
          </w:tcPr>
          <w:p w14:paraId="6D0DD420" w14:textId="77777777" w:rsidR="00011D29" w:rsidRPr="00FD6D2D" w:rsidRDefault="00011D29" w:rsidP="00A006A3">
            <w:pPr>
              <w:rPr>
                <w:sz w:val="22"/>
              </w:rPr>
            </w:pPr>
            <w:r w:rsidRPr="00FD6D2D">
              <w:rPr>
                <w:sz w:val="22"/>
              </w:rPr>
              <w:t xml:space="preserve">Mitigation measures funded by developer contributions </w:t>
            </w:r>
          </w:p>
        </w:tc>
        <w:tc>
          <w:tcPr>
            <w:tcW w:w="4565" w:type="dxa"/>
            <w:tcBorders>
              <w:bottom w:val="single" w:sz="4" w:space="0" w:color="auto"/>
            </w:tcBorders>
          </w:tcPr>
          <w:p w14:paraId="468FC8A2" w14:textId="77777777" w:rsidR="00011D29" w:rsidRPr="00217CA0" w:rsidRDefault="00011D29" w:rsidP="00A006A3">
            <w:pPr>
              <w:ind w:left="34"/>
              <w:rPr>
                <w:sz w:val="22"/>
              </w:rPr>
            </w:pPr>
            <w:r w:rsidRPr="00217CA0">
              <w:rPr>
                <w:sz w:val="22"/>
              </w:rPr>
              <w:t>No target</w:t>
            </w:r>
          </w:p>
        </w:tc>
        <w:tc>
          <w:tcPr>
            <w:tcW w:w="1417" w:type="dxa"/>
            <w:tcBorders>
              <w:bottom w:val="single" w:sz="4" w:space="0" w:color="auto"/>
              <w:right w:val="single" w:sz="4" w:space="0" w:color="auto"/>
            </w:tcBorders>
          </w:tcPr>
          <w:p w14:paraId="1510D62E" w14:textId="77777777" w:rsidR="00011D29" w:rsidRPr="00217CA0" w:rsidRDefault="00011D29" w:rsidP="00A006A3">
            <w:pPr>
              <w:rPr>
                <w:sz w:val="22"/>
              </w:rPr>
            </w:pPr>
            <w:r w:rsidRPr="00217CA0">
              <w:rPr>
                <w:sz w:val="22"/>
              </w:rPr>
              <w:t>SP5, SP6</w:t>
            </w:r>
          </w:p>
        </w:tc>
        <w:tc>
          <w:tcPr>
            <w:tcW w:w="3544" w:type="dxa"/>
            <w:tcBorders>
              <w:left w:val="single" w:sz="4" w:space="0" w:color="auto"/>
              <w:bottom w:val="single" w:sz="4" w:space="0" w:color="auto"/>
            </w:tcBorders>
          </w:tcPr>
          <w:p w14:paraId="41F568B2" w14:textId="73ABDC09" w:rsidR="00011D29" w:rsidRPr="00217CA0" w:rsidRDefault="00011D29" w:rsidP="00A006A3">
            <w:pPr>
              <w:pStyle w:val="ListParagraph"/>
              <w:ind w:left="34"/>
              <w:rPr>
                <w:sz w:val="22"/>
              </w:rPr>
            </w:pPr>
            <w:r w:rsidRPr="00217CA0">
              <w:rPr>
                <w:sz w:val="22"/>
              </w:rPr>
              <w:t>£</w:t>
            </w:r>
            <w:r w:rsidR="00404317">
              <w:rPr>
                <w:rFonts w:eastAsia="Calibri" w:cs="Times New Roman"/>
                <w:sz w:val="22"/>
              </w:rPr>
              <w:t>59</w:t>
            </w:r>
            <w:r w:rsidRPr="00217CA0">
              <w:rPr>
                <w:rFonts w:eastAsia="Calibri" w:cs="Times New Roman"/>
                <w:sz w:val="22"/>
              </w:rPr>
              <w:t>,</w:t>
            </w:r>
            <w:r>
              <w:rPr>
                <w:rFonts w:eastAsia="Calibri" w:cs="Times New Roman"/>
                <w:sz w:val="22"/>
              </w:rPr>
              <w:t>87</w:t>
            </w:r>
            <w:r w:rsidR="00995449">
              <w:rPr>
                <w:rFonts w:eastAsia="Calibri" w:cs="Times New Roman"/>
                <w:sz w:val="22"/>
              </w:rPr>
              <w:t>5</w:t>
            </w:r>
            <w:r w:rsidRPr="00217CA0">
              <w:rPr>
                <w:sz w:val="18"/>
                <w:szCs w:val="20"/>
              </w:rPr>
              <w:t xml:space="preserve"> </w:t>
            </w:r>
            <w:r w:rsidRPr="00217CA0">
              <w:rPr>
                <w:sz w:val="22"/>
              </w:rPr>
              <w:t>spent on ecological mitigation for the New Forest’s designated sites.</w:t>
            </w:r>
            <w:r>
              <w:rPr>
                <w:sz w:val="22"/>
              </w:rPr>
              <w:t xml:space="preserve"> </w:t>
            </w:r>
          </w:p>
        </w:tc>
        <w:tc>
          <w:tcPr>
            <w:tcW w:w="538" w:type="dxa"/>
            <w:tcBorders>
              <w:bottom w:val="single" w:sz="4" w:space="0" w:color="auto"/>
            </w:tcBorders>
            <w:shd w:val="clear" w:color="auto" w:fill="008000"/>
          </w:tcPr>
          <w:p w14:paraId="7EBE412A" w14:textId="77777777" w:rsidR="00011D29" w:rsidRPr="00217CA0" w:rsidRDefault="00011D29" w:rsidP="00A006A3">
            <w:pPr>
              <w:jc w:val="center"/>
              <w:rPr>
                <w:sz w:val="52"/>
                <w:szCs w:val="52"/>
              </w:rPr>
            </w:pPr>
          </w:p>
        </w:tc>
      </w:tr>
      <w:tr w:rsidR="00011D29" w:rsidRPr="00217CA0" w14:paraId="20A69A92" w14:textId="77777777" w:rsidTr="00A006A3">
        <w:trPr>
          <w:trHeight w:val="585"/>
        </w:trPr>
        <w:tc>
          <w:tcPr>
            <w:tcW w:w="4678" w:type="dxa"/>
            <w:tcBorders>
              <w:bottom w:val="single" w:sz="4" w:space="0" w:color="auto"/>
            </w:tcBorders>
          </w:tcPr>
          <w:p w14:paraId="437ECC9F" w14:textId="77777777" w:rsidR="00011D29" w:rsidRPr="00FD6D2D" w:rsidRDefault="00011D29" w:rsidP="00A006A3">
            <w:pPr>
              <w:ind w:left="34"/>
              <w:rPr>
                <w:sz w:val="22"/>
              </w:rPr>
            </w:pPr>
            <w:r w:rsidRPr="00FD6D2D">
              <w:rPr>
                <w:sz w:val="22"/>
              </w:rPr>
              <w:t xml:space="preserve">Planning applications refused on landscape grounds </w:t>
            </w:r>
          </w:p>
        </w:tc>
        <w:tc>
          <w:tcPr>
            <w:tcW w:w="4565" w:type="dxa"/>
            <w:tcBorders>
              <w:bottom w:val="single" w:sz="4" w:space="0" w:color="auto"/>
            </w:tcBorders>
          </w:tcPr>
          <w:p w14:paraId="727CC806" w14:textId="77777777" w:rsidR="00011D29" w:rsidRPr="00217CA0" w:rsidRDefault="00011D29" w:rsidP="00A006A3">
            <w:pPr>
              <w:ind w:left="34"/>
              <w:rPr>
                <w:sz w:val="22"/>
              </w:rPr>
            </w:pPr>
            <w:r w:rsidRPr="00217CA0">
              <w:rPr>
                <w:sz w:val="22"/>
              </w:rPr>
              <w:t>Not to allow development that would have adverse impacts on the Park’s landscape</w:t>
            </w:r>
          </w:p>
        </w:tc>
        <w:tc>
          <w:tcPr>
            <w:tcW w:w="1417" w:type="dxa"/>
            <w:tcBorders>
              <w:bottom w:val="single" w:sz="4" w:space="0" w:color="auto"/>
              <w:right w:val="single" w:sz="4" w:space="0" w:color="auto"/>
            </w:tcBorders>
          </w:tcPr>
          <w:p w14:paraId="38128D55" w14:textId="77777777" w:rsidR="00011D29" w:rsidRPr="00217CA0" w:rsidRDefault="00011D29" w:rsidP="00A006A3">
            <w:pPr>
              <w:rPr>
                <w:sz w:val="22"/>
              </w:rPr>
            </w:pPr>
            <w:r w:rsidRPr="00217CA0">
              <w:rPr>
                <w:sz w:val="22"/>
              </w:rPr>
              <w:t>SP7</w:t>
            </w:r>
          </w:p>
        </w:tc>
        <w:tc>
          <w:tcPr>
            <w:tcW w:w="3544" w:type="dxa"/>
            <w:tcBorders>
              <w:left w:val="single" w:sz="4" w:space="0" w:color="auto"/>
              <w:bottom w:val="single" w:sz="4" w:space="0" w:color="auto"/>
            </w:tcBorders>
          </w:tcPr>
          <w:p w14:paraId="3AC4D929" w14:textId="77777777" w:rsidR="00011D29" w:rsidRPr="00217CA0" w:rsidRDefault="00011D29" w:rsidP="00A006A3">
            <w:pPr>
              <w:pStyle w:val="ListParagraph"/>
              <w:ind w:left="34"/>
              <w:rPr>
                <w:sz w:val="22"/>
              </w:rPr>
            </w:pPr>
            <w:r w:rsidRPr="00217CA0">
              <w:rPr>
                <w:sz w:val="22"/>
              </w:rPr>
              <w:t>Remains a significant reason for refusal, supported at appeal.</w:t>
            </w:r>
          </w:p>
        </w:tc>
        <w:tc>
          <w:tcPr>
            <w:tcW w:w="538" w:type="dxa"/>
            <w:tcBorders>
              <w:bottom w:val="single" w:sz="4" w:space="0" w:color="auto"/>
            </w:tcBorders>
            <w:shd w:val="clear" w:color="auto" w:fill="008000"/>
          </w:tcPr>
          <w:p w14:paraId="2CCBC739" w14:textId="77777777" w:rsidR="00011D29" w:rsidRPr="00217CA0" w:rsidRDefault="00011D29" w:rsidP="00A006A3">
            <w:pPr>
              <w:jc w:val="center"/>
              <w:rPr>
                <w:sz w:val="52"/>
                <w:szCs w:val="52"/>
              </w:rPr>
            </w:pPr>
          </w:p>
        </w:tc>
      </w:tr>
      <w:tr w:rsidR="00011D29" w:rsidRPr="00217CA0" w14:paraId="6FC5C1D1" w14:textId="77777777" w:rsidTr="00A006A3">
        <w:trPr>
          <w:trHeight w:val="508"/>
        </w:trPr>
        <w:tc>
          <w:tcPr>
            <w:tcW w:w="4678" w:type="dxa"/>
            <w:tcBorders>
              <w:bottom w:val="single" w:sz="4" w:space="0" w:color="auto"/>
            </w:tcBorders>
          </w:tcPr>
          <w:p w14:paraId="328483BE" w14:textId="77777777" w:rsidR="00011D29" w:rsidRPr="00FD6D2D" w:rsidRDefault="00011D29" w:rsidP="00A006A3">
            <w:pPr>
              <w:ind w:left="34"/>
              <w:rPr>
                <w:sz w:val="22"/>
              </w:rPr>
            </w:pPr>
            <w:r w:rsidRPr="00FD6D2D">
              <w:rPr>
                <w:sz w:val="22"/>
              </w:rPr>
              <w:t>Planning permissions granted contrary to Environment Agency advice on water quality &amp; flooding</w:t>
            </w:r>
          </w:p>
        </w:tc>
        <w:tc>
          <w:tcPr>
            <w:tcW w:w="4565" w:type="dxa"/>
            <w:tcBorders>
              <w:bottom w:val="single" w:sz="4" w:space="0" w:color="auto"/>
            </w:tcBorders>
          </w:tcPr>
          <w:p w14:paraId="20BEEC6A" w14:textId="77777777" w:rsidR="00011D29" w:rsidRPr="00217CA0" w:rsidRDefault="00011D29" w:rsidP="00A006A3">
            <w:pPr>
              <w:ind w:left="34"/>
              <w:rPr>
                <w:sz w:val="22"/>
              </w:rPr>
            </w:pPr>
            <w:r w:rsidRPr="00217CA0">
              <w:rPr>
                <w:sz w:val="22"/>
              </w:rPr>
              <w:t>Zero applications</w:t>
            </w:r>
          </w:p>
        </w:tc>
        <w:tc>
          <w:tcPr>
            <w:tcW w:w="1417" w:type="dxa"/>
            <w:tcBorders>
              <w:bottom w:val="single" w:sz="4" w:space="0" w:color="auto"/>
              <w:right w:val="single" w:sz="4" w:space="0" w:color="auto"/>
            </w:tcBorders>
          </w:tcPr>
          <w:p w14:paraId="5780508F" w14:textId="77777777" w:rsidR="00011D29" w:rsidRPr="00217CA0" w:rsidRDefault="00011D29" w:rsidP="00A006A3">
            <w:pPr>
              <w:rPr>
                <w:sz w:val="22"/>
              </w:rPr>
            </w:pPr>
          </w:p>
        </w:tc>
        <w:tc>
          <w:tcPr>
            <w:tcW w:w="3544" w:type="dxa"/>
            <w:tcBorders>
              <w:left w:val="single" w:sz="4" w:space="0" w:color="auto"/>
              <w:bottom w:val="single" w:sz="4" w:space="0" w:color="auto"/>
            </w:tcBorders>
          </w:tcPr>
          <w:p w14:paraId="709F64AC" w14:textId="77777777" w:rsidR="00011D29" w:rsidRPr="00217CA0" w:rsidRDefault="00011D29" w:rsidP="00A006A3">
            <w:pPr>
              <w:pStyle w:val="ListParagraph"/>
              <w:ind w:left="34"/>
              <w:rPr>
                <w:sz w:val="22"/>
              </w:rPr>
            </w:pPr>
            <w:r w:rsidRPr="00217CA0">
              <w:rPr>
                <w:sz w:val="22"/>
              </w:rPr>
              <w:t>Zero applications.</w:t>
            </w:r>
          </w:p>
        </w:tc>
        <w:tc>
          <w:tcPr>
            <w:tcW w:w="538" w:type="dxa"/>
            <w:tcBorders>
              <w:bottom w:val="single" w:sz="4" w:space="0" w:color="auto"/>
            </w:tcBorders>
            <w:shd w:val="clear" w:color="auto" w:fill="008000"/>
          </w:tcPr>
          <w:p w14:paraId="2DE61BD0" w14:textId="77777777" w:rsidR="00011D29" w:rsidRPr="00217CA0" w:rsidRDefault="00011D29" w:rsidP="00A006A3">
            <w:pPr>
              <w:jc w:val="center"/>
              <w:rPr>
                <w:sz w:val="52"/>
                <w:szCs w:val="52"/>
              </w:rPr>
            </w:pPr>
          </w:p>
        </w:tc>
      </w:tr>
      <w:tr w:rsidR="00011D29" w:rsidRPr="00217CA0" w14:paraId="1162FEBD" w14:textId="77777777" w:rsidTr="00A006A3">
        <w:trPr>
          <w:trHeight w:val="645"/>
        </w:trPr>
        <w:tc>
          <w:tcPr>
            <w:tcW w:w="4678" w:type="dxa"/>
            <w:tcBorders>
              <w:bottom w:val="single" w:sz="4" w:space="0" w:color="auto"/>
            </w:tcBorders>
          </w:tcPr>
          <w:p w14:paraId="10A9652A" w14:textId="77777777" w:rsidR="00011D29" w:rsidRPr="00FD6D2D" w:rsidRDefault="00011D29" w:rsidP="00A006A3">
            <w:pPr>
              <w:ind w:left="34"/>
              <w:rPr>
                <w:sz w:val="22"/>
              </w:rPr>
            </w:pPr>
            <w:r w:rsidRPr="00FD6D2D">
              <w:rPr>
                <w:sz w:val="22"/>
              </w:rPr>
              <w:t>Monitor levels of windfall development within 400m of the New Forest SPA &amp; SAC</w:t>
            </w:r>
          </w:p>
        </w:tc>
        <w:tc>
          <w:tcPr>
            <w:tcW w:w="4565" w:type="dxa"/>
            <w:tcBorders>
              <w:bottom w:val="single" w:sz="4" w:space="0" w:color="auto"/>
            </w:tcBorders>
          </w:tcPr>
          <w:p w14:paraId="4D9AC803" w14:textId="77777777" w:rsidR="00011D29" w:rsidRPr="00217CA0" w:rsidRDefault="00011D29" w:rsidP="00A006A3">
            <w:pPr>
              <w:ind w:left="34"/>
              <w:rPr>
                <w:sz w:val="22"/>
              </w:rPr>
            </w:pPr>
            <w:r w:rsidRPr="00217CA0">
              <w:rPr>
                <w:sz w:val="22"/>
              </w:rPr>
              <w:t>To ensure potential urban edge impacts of windfall development within 400m are mitigated</w:t>
            </w:r>
          </w:p>
        </w:tc>
        <w:tc>
          <w:tcPr>
            <w:tcW w:w="1417" w:type="dxa"/>
            <w:tcBorders>
              <w:bottom w:val="single" w:sz="4" w:space="0" w:color="auto"/>
              <w:right w:val="single" w:sz="4" w:space="0" w:color="auto"/>
            </w:tcBorders>
          </w:tcPr>
          <w:p w14:paraId="45F7E711" w14:textId="77777777" w:rsidR="00011D29" w:rsidRPr="00217CA0" w:rsidRDefault="00011D29" w:rsidP="00A006A3">
            <w:pPr>
              <w:rPr>
                <w:sz w:val="22"/>
              </w:rPr>
            </w:pPr>
            <w:r w:rsidRPr="00217CA0">
              <w:rPr>
                <w:sz w:val="22"/>
              </w:rPr>
              <w:t>SP5</w:t>
            </w:r>
          </w:p>
        </w:tc>
        <w:tc>
          <w:tcPr>
            <w:tcW w:w="3544" w:type="dxa"/>
            <w:tcBorders>
              <w:left w:val="single" w:sz="4" w:space="0" w:color="auto"/>
              <w:bottom w:val="single" w:sz="4" w:space="0" w:color="auto"/>
            </w:tcBorders>
          </w:tcPr>
          <w:p w14:paraId="5268580F" w14:textId="30E2A202" w:rsidR="00011D29" w:rsidRPr="00217CA0" w:rsidRDefault="00011D29" w:rsidP="00A006A3">
            <w:pPr>
              <w:pStyle w:val="ListParagraph"/>
              <w:ind w:left="34"/>
              <w:rPr>
                <w:sz w:val="22"/>
              </w:rPr>
            </w:pPr>
            <w:r w:rsidRPr="00217CA0">
              <w:rPr>
                <w:sz w:val="22"/>
              </w:rPr>
              <w:t xml:space="preserve">Extant permissions for </w:t>
            </w:r>
            <w:r w:rsidR="000B4FC1">
              <w:rPr>
                <w:sz w:val="22"/>
              </w:rPr>
              <w:t>6</w:t>
            </w:r>
            <w:r>
              <w:rPr>
                <w:sz w:val="22"/>
              </w:rPr>
              <w:t>6</w:t>
            </w:r>
            <w:r w:rsidRPr="00217CA0">
              <w:rPr>
                <w:sz w:val="22"/>
              </w:rPr>
              <w:t xml:space="preserve"> new dwellings </w:t>
            </w:r>
            <w:r w:rsidRPr="00BC521B">
              <w:rPr>
                <w:sz w:val="22"/>
              </w:rPr>
              <w:t>(</w:t>
            </w:r>
            <w:r w:rsidRPr="00BC521B">
              <w:rPr>
                <w:iCs/>
                <w:sz w:val="22"/>
              </w:rPr>
              <w:t>no objections from Natural England).</w:t>
            </w:r>
          </w:p>
        </w:tc>
        <w:tc>
          <w:tcPr>
            <w:tcW w:w="538" w:type="dxa"/>
            <w:tcBorders>
              <w:bottom w:val="single" w:sz="4" w:space="0" w:color="auto"/>
            </w:tcBorders>
            <w:shd w:val="clear" w:color="auto" w:fill="008000"/>
          </w:tcPr>
          <w:p w14:paraId="08070BF9" w14:textId="77777777" w:rsidR="00011D29" w:rsidRPr="00217CA0" w:rsidRDefault="00011D29" w:rsidP="00A006A3">
            <w:pPr>
              <w:jc w:val="center"/>
              <w:rPr>
                <w:sz w:val="52"/>
                <w:szCs w:val="52"/>
              </w:rPr>
            </w:pPr>
          </w:p>
        </w:tc>
      </w:tr>
      <w:tr w:rsidR="00011D29" w:rsidRPr="00217CA0" w14:paraId="475854B1" w14:textId="77777777" w:rsidTr="00A006A3">
        <w:trPr>
          <w:trHeight w:val="756"/>
        </w:trPr>
        <w:tc>
          <w:tcPr>
            <w:tcW w:w="4678" w:type="dxa"/>
            <w:vMerge w:val="restart"/>
          </w:tcPr>
          <w:p w14:paraId="1DD363BE" w14:textId="77777777" w:rsidR="00011D29" w:rsidRPr="00FD6D2D" w:rsidRDefault="00011D29" w:rsidP="00A006A3">
            <w:pPr>
              <w:ind w:right="-108"/>
              <w:rPr>
                <w:sz w:val="22"/>
              </w:rPr>
            </w:pPr>
            <w:r w:rsidRPr="00FD6D2D">
              <w:rPr>
                <w:sz w:val="22"/>
              </w:rPr>
              <w:t>Change in areas and populations of biodiversity importance, including:</w:t>
            </w:r>
          </w:p>
          <w:p w14:paraId="51A623A6" w14:textId="77777777" w:rsidR="00011D29" w:rsidRPr="00FD6D2D" w:rsidRDefault="00011D29" w:rsidP="00A006A3">
            <w:pPr>
              <w:pStyle w:val="ListParagraph"/>
              <w:numPr>
                <w:ilvl w:val="0"/>
                <w:numId w:val="13"/>
              </w:numPr>
              <w:ind w:left="459" w:right="-108" w:hanging="284"/>
              <w:rPr>
                <w:sz w:val="22"/>
              </w:rPr>
            </w:pPr>
            <w:r w:rsidRPr="00FD6D2D">
              <w:rPr>
                <w:sz w:val="22"/>
              </w:rPr>
              <w:t>Change in BAP priority habitats &amp; species</w:t>
            </w:r>
          </w:p>
          <w:p w14:paraId="6DB276E9" w14:textId="77777777" w:rsidR="00011D29" w:rsidRPr="00FD6D2D" w:rsidRDefault="00011D29" w:rsidP="00A006A3">
            <w:pPr>
              <w:pStyle w:val="ListParagraph"/>
              <w:numPr>
                <w:ilvl w:val="0"/>
                <w:numId w:val="13"/>
              </w:numPr>
              <w:ind w:left="459" w:right="-108" w:hanging="284"/>
              <w:rPr>
                <w:sz w:val="22"/>
              </w:rPr>
            </w:pPr>
            <w:r w:rsidRPr="00FD6D2D">
              <w:rPr>
                <w:sz w:val="22"/>
              </w:rPr>
              <w:t xml:space="preserve">Change in areas designated for their intrinsic environmental value </w:t>
            </w:r>
          </w:p>
        </w:tc>
        <w:tc>
          <w:tcPr>
            <w:tcW w:w="4565" w:type="dxa"/>
            <w:vMerge w:val="restart"/>
          </w:tcPr>
          <w:p w14:paraId="7288C027" w14:textId="77777777" w:rsidR="00011D29" w:rsidRPr="00217CA0" w:rsidRDefault="00011D29" w:rsidP="00A006A3">
            <w:pPr>
              <w:ind w:left="34"/>
              <w:rPr>
                <w:sz w:val="22"/>
              </w:rPr>
            </w:pPr>
            <w:r w:rsidRPr="00217CA0">
              <w:rPr>
                <w:sz w:val="22"/>
              </w:rPr>
              <w:t xml:space="preserve">Net increase in areas of biodiversity importance </w:t>
            </w:r>
          </w:p>
          <w:p w14:paraId="03408D96" w14:textId="77777777" w:rsidR="00011D29" w:rsidRPr="00217CA0" w:rsidRDefault="00011D29" w:rsidP="00A006A3">
            <w:pPr>
              <w:pStyle w:val="ListParagraph"/>
              <w:ind w:left="34"/>
              <w:rPr>
                <w:sz w:val="22"/>
              </w:rPr>
            </w:pPr>
          </w:p>
          <w:p w14:paraId="5E8458E1" w14:textId="77777777" w:rsidR="00011D29" w:rsidRPr="00217CA0" w:rsidRDefault="00011D29" w:rsidP="00A006A3">
            <w:pPr>
              <w:pStyle w:val="ListParagraph"/>
              <w:ind w:left="34"/>
              <w:rPr>
                <w:sz w:val="22"/>
              </w:rPr>
            </w:pPr>
          </w:p>
        </w:tc>
        <w:tc>
          <w:tcPr>
            <w:tcW w:w="1417" w:type="dxa"/>
            <w:vMerge w:val="restart"/>
            <w:tcBorders>
              <w:right w:val="single" w:sz="4" w:space="0" w:color="auto"/>
            </w:tcBorders>
          </w:tcPr>
          <w:p w14:paraId="1652A216" w14:textId="77777777" w:rsidR="00011D29" w:rsidRPr="00217CA0" w:rsidRDefault="00011D29" w:rsidP="00A006A3">
            <w:pPr>
              <w:rPr>
                <w:sz w:val="22"/>
              </w:rPr>
            </w:pPr>
            <w:r w:rsidRPr="00217CA0">
              <w:rPr>
                <w:sz w:val="22"/>
              </w:rPr>
              <w:t>SP5, SP6</w:t>
            </w:r>
          </w:p>
          <w:p w14:paraId="7B20D126" w14:textId="77777777" w:rsidR="00011D29" w:rsidRPr="00217CA0" w:rsidRDefault="00011D29" w:rsidP="00A006A3">
            <w:pPr>
              <w:rPr>
                <w:sz w:val="22"/>
              </w:rPr>
            </w:pPr>
          </w:p>
          <w:p w14:paraId="3504909F" w14:textId="77777777" w:rsidR="00011D29" w:rsidRPr="00217CA0" w:rsidRDefault="00011D29" w:rsidP="00A006A3">
            <w:pPr>
              <w:rPr>
                <w:sz w:val="22"/>
              </w:rPr>
            </w:pPr>
          </w:p>
          <w:p w14:paraId="0B2CFA4F" w14:textId="77777777" w:rsidR="00011D29" w:rsidRPr="00217CA0" w:rsidRDefault="00011D29" w:rsidP="00A006A3">
            <w:pPr>
              <w:ind w:right="-108"/>
              <w:rPr>
                <w:sz w:val="22"/>
              </w:rPr>
            </w:pPr>
          </w:p>
        </w:tc>
        <w:tc>
          <w:tcPr>
            <w:tcW w:w="3544" w:type="dxa"/>
            <w:vMerge w:val="restart"/>
            <w:tcBorders>
              <w:left w:val="single" w:sz="4" w:space="0" w:color="auto"/>
            </w:tcBorders>
          </w:tcPr>
          <w:p w14:paraId="578B544E" w14:textId="77777777" w:rsidR="00011D29" w:rsidRPr="00217CA0" w:rsidRDefault="00011D29" w:rsidP="00A006A3">
            <w:pPr>
              <w:ind w:left="34" w:right="-108"/>
              <w:rPr>
                <w:sz w:val="22"/>
              </w:rPr>
            </w:pPr>
            <w:proofErr w:type="spellStart"/>
            <w:r w:rsidRPr="00217CA0">
              <w:rPr>
                <w:sz w:val="22"/>
              </w:rPr>
              <w:t>i</w:t>
            </w:r>
            <w:proofErr w:type="spellEnd"/>
            <w:r w:rsidRPr="00217CA0">
              <w:rPr>
                <w:sz w:val="22"/>
              </w:rPr>
              <w:t xml:space="preserve">) </w:t>
            </w:r>
            <w:proofErr w:type="gramStart"/>
            <w:r w:rsidRPr="00217CA0">
              <w:rPr>
                <w:sz w:val="22"/>
              </w:rPr>
              <w:t>Small</w:t>
            </w:r>
            <w:proofErr w:type="gramEnd"/>
            <w:r w:rsidRPr="00217CA0">
              <w:rPr>
                <w:sz w:val="22"/>
              </w:rPr>
              <w:t xml:space="preserve"> </w:t>
            </w:r>
            <w:r>
              <w:rPr>
                <w:sz w:val="22"/>
              </w:rPr>
              <w:t>in</w:t>
            </w:r>
            <w:r w:rsidRPr="00217CA0">
              <w:rPr>
                <w:sz w:val="22"/>
              </w:rPr>
              <w:t>crease in priority habitats in the National Park</w:t>
            </w:r>
          </w:p>
          <w:p w14:paraId="172E299A" w14:textId="77777777" w:rsidR="00011D29" w:rsidRPr="00217CA0" w:rsidRDefault="00011D29" w:rsidP="00A006A3">
            <w:pPr>
              <w:ind w:left="34"/>
              <w:rPr>
                <w:sz w:val="12"/>
                <w:szCs w:val="12"/>
              </w:rPr>
            </w:pPr>
          </w:p>
          <w:p w14:paraId="60FEB6AF" w14:textId="08075B01" w:rsidR="00011D29" w:rsidRPr="00217CA0" w:rsidRDefault="00011D29" w:rsidP="00A006A3">
            <w:pPr>
              <w:tabs>
                <w:tab w:val="left" w:pos="2727"/>
              </w:tabs>
              <w:ind w:left="34"/>
              <w:rPr>
                <w:sz w:val="22"/>
              </w:rPr>
            </w:pPr>
            <w:r w:rsidRPr="00217CA0">
              <w:rPr>
                <w:sz w:val="22"/>
              </w:rPr>
              <w:t xml:space="preserve">ii) </w:t>
            </w:r>
            <w:r w:rsidR="00276B9A">
              <w:rPr>
                <w:sz w:val="22"/>
              </w:rPr>
              <w:t>3</w:t>
            </w:r>
            <w:r w:rsidRPr="00217CA0">
              <w:rPr>
                <w:sz w:val="22"/>
              </w:rPr>
              <w:t xml:space="preserve"> </w:t>
            </w:r>
            <w:r>
              <w:rPr>
                <w:sz w:val="22"/>
              </w:rPr>
              <w:t xml:space="preserve">new </w:t>
            </w:r>
            <w:r w:rsidRPr="00217CA0">
              <w:rPr>
                <w:sz w:val="22"/>
              </w:rPr>
              <w:t>SINC</w:t>
            </w:r>
            <w:r w:rsidR="00276B9A">
              <w:rPr>
                <w:sz w:val="22"/>
              </w:rPr>
              <w:t>s, 2</w:t>
            </w:r>
            <w:r>
              <w:rPr>
                <w:sz w:val="22"/>
              </w:rPr>
              <w:t xml:space="preserve"> amended</w:t>
            </w:r>
            <w:r w:rsidR="004B3E6B">
              <w:rPr>
                <w:sz w:val="22"/>
              </w:rPr>
              <w:t xml:space="preserve"> &amp; 2 deleted</w:t>
            </w:r>
            <w:r w:rsidRPr="00217CA0">
              <w:rPr>
                <w:sz w:val="22"/>
              </w:rPr>
              <w:t xml:space="preserve">, resulting in a net </w:t>
            </w:r>
            <w:r w:rsidR="004B3E6B">
              <w:rPr>
                <w:sz w:val="22"/>
              </w:rPr>
              <w:t>loss</w:t>
            </w:r>
            <w:r w:rsidRPr="00217CA0">
              <w:rPr>
                <w:sz w:val="22"/>
              </w:rPr>
              <w:t xml:space="preserve"> of </w:t>
            </w:r>
            <w:r w:rsidR="00AB5381">
              <w:rPr>
                <w:sz w:val="22"/>
              </w:rPr>
              <w:t>6</w:t>
            </w:r>
            <w:r w:rsidRPr="00217CA0">
              <w:rPr>
                <w:sz w:val="22"/>
              </w:rPr>
              <w:t>ha</w:t>
            </w:r>
          </w:p>
        </w:tc>
        <w:tc>
          <w:tcPr>
            <w:tcW w:w="538" w:type="dxa"/>
            <w:tcBorders>
              <w:bottom w:val="nil"/>
            </w:tcBorders>
            <w:shd w:val="clear" w:color="auto" w:fill="3A7C22" w:themeFill="accent6" w:themeFillShade="BF"/>
          </w:tcPr>
          <w:p w14:paraId="26B34B31" w14:textId="77777777" w:rsidR="00011D29" w:rsidRPr="00217CA0" w:rsidRDefault="00011D29" w:rsidP="00A006A3">
            <w:pPr>
              <w:jc w:val="center"/>
              <w:rPr>
                <w:sz w:val="22"/>
              </w:rPr>
            </w:pPr>
          </w:p>
        </w:tc>
      </w:tr>
      <w:tr w:rsidR="00011D29" w:rsidRPr="00217CA0" w14:paraId="5EF34EA6" w14:textId="77777777" w:rsidTr="00AB5381">
        <w:trPr>
          <w:trHeight w:val="762"/>
        </w:trPr>
        <w:tc>
          <w:tcPr>
            <w:tcW w:w="4678" w:type="dxa"/>
            <w:vMerge/>
          </w:tcPr>
          <w:p w14:paraId="22B5E57E" w14:textId="77777777" w:rsidR="00011D29" w:rsidRPr="00217CA0" w:rsidRDefault="00011D29" w:rsidP="00A006A3">
            <w:pPr>
              <w:ind w:right="-108"/>
              <w:rPr>
                <w:sz w:val="22"/>
              </w:rPr>
            </w:pPr>
          </w:p>
        </w:tc>
        <w:tc>
          <w:tcPr>
            <w:tcW w:w="4565" w:type="dxa"/>
            <w:vMerge/>
          </w:tcPr>
          <w:p w14:paraId="3731C86C" w14:textId="77777777" w:rsidR="00011D29" w:rsidRPr="00217CA0" w:rsidRDefault="00011D29" w:rsidP="00A006A3">
            <w:pPr>
              <w:ind w:left="34"/>
              <w:rPr>
                <w:sz w:val="22"/>
              </w:rPr>
            </w:pPr>
          </w:p>
        </w:tc>
        <w:tc>
          <w:tcPr>
            <w:tcW w:w="1417" w:type="dxa"/>
            <w:vMerge/>
          </w:tcPr>
          <w:p w14:paraId="0BE2B32D" w14:textId="77777777" w:rsidR="00011D29" w:rsidRPr="00217CA0" w:rsidRDefault="00011D29" w:rsidP="00A006A3">
            <w:pPr>
              <w:rPr>
                <w:sz w:val="22"/>
              </w:rPr>
            </w:pPr>
          </w:p>
        </w:tc>
        <w:tc>
          <w:tcPr>
            <w:tcW w:w="3544" w:type="dxa"/>
            <w:vMerge/>
          </w:tcPr>
          <w:p w14:paraId="130073F5" w14:textId="77777777" w:rsidR="00011D29" w:rsidRPr="00217CA0" w:rsidRDefault="00011D29" w:rsidP="00A006A3">
            <w:pPr>
              <w:ind w:left="34" w:right="-108"/>
              <w:rPr>
                <w:sz w:val="22"/>
              </w:rPr>
            </w:pPr>
          </w:p>
        </w:tc>
        <w:tc>
          <w:tcPr>
            <w:tcW w:w="538" w:type="dxa"/>
            <w:shd w:val="clear" w:color="auto" w:fill="FFC000"/>
          </w:tcPr>
          <w:p w14:paraId="136D30BC" w14:textId="77777777" w:rsidR="00011D29" w:rsidRPr="00217CA0" w:rsidRDefault="00011D29" w:rsidP="00A006A3">
            <w:pPr>
              <w:jc w:val="center"/>
              <w:rPr>
                <w:sz w:val="22"/>
              </w:rPr>
            </w:pPr>
          </w:p>
        </w:tc>
      </w:tr>
      <w:tr w:rsidR="00011D29" w:rsidRPr="00217CA0" w14:paraId="1453DA29" w14:textId="77777777" w:rsidTr="00A006A3">
        <w:trPr>
          <w:trHeight w:val="841"/>
        </w:trPr>
        <w:tc>
          <w:tcPr>
            <w:tcW w:w="4678" w:type="dxa"/>
            <w:tcBorders>
              <w:bottom w:val="single" w:sz="4" w:space="0" w:color="auto"/>
            </w:tcBorders>
          </w:tcPr>
          <w:p w14:paraId="371D128B" w14:textId="77777777" w:rsidR="00011D29" w:rsidRPr="00217CA0" w:rsidRDefault="00011D29" w:rsidP="00A006A3">
            <w:pPr>
              <w:ind w:left="34" w:right="-108"/>
              <w:rPr>
                <w:sz w:val="22"/>
              </w:rPr>
            </w:pPr>
            <w:r w:rsidRPr="00FD6D2D">
              <w:rPr>
                <w:sz w:val="22"/>
              </w:rPr>
              <w:t>Public</w:t>
            </w:r>
            <w:r w:rsidRPr="00217CA0">
              <w:rPr>
                <w:sz w:val="22"/>
              </w:rPr>
              <w:t xml:space="preserve"> open space standard of 3.5 hectares per 1000 population</w:t>
            </w:r>
          </w:p>
        </w:tc>
        <w:tc>
          <w:tcPr>
            <w:tcW w:w="4565" w:type="dxa"/>
            <w:tcBorders>
              <w:bottom w:val="single" w:sz="4" w:space="0" w:color="auto"/>
            </w:tcBorders>
          </w:tcPr>
          <w:p w14:paraId="715D28F9" w14:textId="77777777" w:rsidR="00011D29" w:rsidRPr="00217CA0" w:rsidRDefault="00011D29" w:rsidP="00A006A3">
            <w:pPr>
              <w:ind w:left="34"/>
              <w:rPr>
                <w:sz w:val="22"/>
              </w:rPr>
            </w:pPr>
            <w:r w:rsidRPr="00217CA0">
              <w:rPr>
                <w:sz w:val="22"/>
              </w:rPr>
              <w:t>New provision in line with the Authority’s Open Space Standards; and no net loss of existing open space</w:t>
            </w:r>
          </w:p>
        </w:tc>
        <w:tc>
          <w:tcPr>
            <w:tcW w:w="1417" w:type="dxa"/>
            <w:tcBorders>
              <w:bottom w:val="single" w:sz="4" w:space="0" w:color="auto"/>
              <w:right w:val="single" w:sz="4" w:space="0" w:color="auto"/>
            </w:tcBorders>
          </w:tcPr>
          <w:p w14:paraId="1DF9C76E" w14:textId="77777777" w:rsidR="00011D29" w:rsidRPr="00217CA0" w:rsidRDefault="00011D29" w:rsidP="00A006A3">
            <w:pPr>
              <w:ind w:left="34"/>
              <w:rPr>
                <w:sz w:val="22"/>
              </w:rPr>
            </w:pPr>
            <w:r w:rsidRPr="00217CA0">
              <w:rPr>
                <w:sz w:val="22"/>
              </w:rPr>
              <w:t>DP10</w:t>
            </w:r>
          </w:p>
        </w:tc>
        <w:tc>
          <w:tcPr>
            <w:tcW w:w="3544" w:type="dxa"/>
            <w:tcBorders>
              <w:left w:val="single" w:sz="4" w:space="0" w:color="auto"/>
              <w:bottom w:val="single" w:sz="4" w:space="0" w:color="auto"/>
            </w:tcBorders>
          </w:tcPr>
          <w:p w14:paraId="12647AE4" w14:textId="77777777" w:rsidR="00011D29" w:rsidRPr="00217CA0" w:rsidRDefault="00011D29" w:rsidP="00A006A3">
            <w:pPr>
              <w:pStyle w:val="ListParagraph"/>
              <w:ind w:left="34" w:right="-108"/>
              <w:rPr>
                <w:sz w:val="22"/>
              </w:rPr>
            </w:pPr>
            <w:r w:rsidRPr="00217CA0">
              <w:rPr>
                <w:sz w:val="22"/>
              </w:rPr>
              <w:t xml:space="preserve">No net loss of open space. New provision proposed on Local Plan site allocations in Ashurst &amp; Sway. </w:t>
            </w:r>
          </w:p>
        </w:tc>
        <w:tc>
          <w:tcPr>
            <w:tcW w:w="538" w:type="dxa"/>
            <w:tcBorders>
              <w:bottom w:val="single" w:sz="4" w:space="0" w:color="auto"/>
            </w:tcBorders>
            <w:shd w:val="clear" w:color="auto" w:fill="008000"/>
            <w:vAlign w:val="center"/>
          </w:tcPr>
          <w:p w14:paraId="33CB2B96" w14:textId="77777777" w:rsidR="00011D29" w:rsidRPr="00217CA0" w:rsidRDefault="00011D29" w:rsidP="00A006A3">
            <w:pPr>
              <w:jc w:val="center"/>
              <w:rPr>
                <w:sz w:val="52"/>
                <w:szCs w:val="52"/>
              </w:rPr>
            </w:pPr>
          </w:p>
        </w:tc>
      </w:tr>
      <w:tr w:rsidR="00011D29" w:rsidRPr="00217CA0" w14:paraId="7CF3F7D9" w14:textId="77777777" w:rsidTr="00A006A3">
        <w:trPr>
          <w:trHeight w:val="555"/>
        </w:trPr>
        <w:tc>
          <w:tcPr>
            <w:tcW w:w="4678" w:type="dxa"/>
            <w:tcBorders>
              <w:bottom w:val="single" w:sz="4" w:space="0" w:color="auto"/>
            </w:tcBorders>
          </w:tcPr>
          <w:p w14:paraId="6FE50100" w14:textId="77777777" w:rsidR="00011D29" w:rsidRPr="00FD6D2D" w:rsidRDefault="00011D29" w:rsidP="00A006A3">
            <w:pPr>
              <w:ind w:right="-108"/>
              <w:rPr>
                <w:sz w:val="22"/>
              </w:rPr>
            </w:pPr>
            <w:r w:rsidRPr="00FD6D2D">
              <w:rPr>
                <w:sz w:val="22"/>
              </w:rPr>
              <w:lastRenderedPageBreak/>
              <w:t xml:space="preserve">Applications refused </w:t>
            </w:r>
            <w:proofErr w:type="gramStart"/>
            <w:r w:rsidRPr="00FD6D2D">
              <w:rPr>
                <w:sz w:val="22"/>
              </w:rPr>
              <w:t>on the basis of</w:t>
            </w:r>
            <w:proofErr w:type="gramEnd"/>
            <w:r w:rsidRPr="00FD6D2D">
              <w:rPr>
                <w:sz w:val="22"/>
              </w:rPr>
              <w:t xml:space="preserve"> impacts on the coast</w:t>
            </w:r>
          </w:p>
        </w:tc>
        <w:tc>
          <w:tcPr>
            <w:tcW w:w="4565" w:type="dxa"/>
            <w:tcBorders>
              <w:bottom w:val="single" w:sz="4" w:space="0" w:color="auto"/>
            </w:tcBorders>
          </w:tcPr>
          <w:p w14:paraId="3F64605A" w14:textId="77777777" w:rsidR="00011D29" w:rsidRPr="00217CA0" w:rsidRDefault="00011D29" w:rsidP="00A006A3">
            <w:pPr>
              <w:ind w:left="34" w:right="-108"/>
              <w:rPr>
                <w:sz w:val="22"/>
              </w:rPr>
            </w:pPr>
            <w:r w:rsidRPr="00217CA0">
              <w:rPr>
                <w:sz w:val="22"/>
              </w:rPr>
              <w:t>Not to allow development that would have adverse impacts on the Park’s coast</w:t>
            </w:r>
          </w:p>
        </w:tc>
        <w:tc>
          <w:tcPr>
            <w:tcW w:w="1417" w:type="dxa"/>
            <w:tcBorders>
              <w:bottom w:val="single" w:sz="4" w:space="0" w:color="auto"/>
              <w:right w:val="single" w:sz="4" w:space="0" w:color="auto"/>
            </w:tcBorders>
          </w:tcPr>
          <w:p w14:paraId="08D12036" w14:textId="77777777" w:rsidR="00011D29" w:rsidRPr="00217CA0" w:rsidRDefault="00011D29" w:rsidP="00A006A3">
            <w:pPr>
              <w:ind w:left="34" w:right="-108"/>
              <w:rPr>
                <w:sz w:val="22"/>
              </w:rPr>
            </w:pPr>
            <w:r w:rsidRPr="00217CA0">
              <w:rPr>
                <w:sz w:val="22"/>
              </w:rPr>
              <w:t>DP13</w:t>
            </w:r>
          </w:p>
        </w:tc>
        <w:tc>
          <w:tcPr>
            <w:tcW w:w="3544" w:type="dxa"/>
            <w:tcBorders>
              <w:left w:val="single" w:sz="4" w:space="0" w:color="auto"/>
              <w:bottom w:val="single" w:sz="4" w:space="0" w:color="auto"/>
            </w:tcBorders>
          </w:tcPr>
          <w:p w14:paraId="59CD5DFB" w14:textId="77777777" w:rsidR="00011D29" w:rsidRPr="00217CA0" w:rsidRDefault="00011D29" w:rsidP="00A006A3">
            <w:pPr>
              <w:ind w:left="34"/>
              <w:rPr>
                <w:sz w:val="22"/>
              </w:rPr>
            </w:pPr>
            <w:r w:rsidRPr="00217CA0">
              <w:rPr>
                <w:sz w:val="22"/>
              </w:rPr>
              <w:t>Zero applications.</w:t>
            </w:r>
          </w:p>
        </w:tc>
        <w:tc>
          <w:tcPr>
            <w:tcW w:w="538" w:type="dxa"/>
            <w:tcBorders>
              <w:bottom w:val="single" w:sz="4" w:space="0" w:color="auto"/>
            </w:tcBorders>
            <w:shd w:val="clear" w:color="auto" w:fill="008000"/>
          </w:tcPr>
          <w:p w14:paraId="369B4006" w14:textId="77777777" w:rsidR="00011D29" w:rsidRPr="00217CA0" w:rsidRDefault="00011D29" w:rsidP="00A006A3">
            <w:pPr>
              <w:jc w:val="center"/>
              <w:rPr>
                <w:sz w:val="52"/>
                <w:szCs w:val="52"/>
              </w:rPr>
            </w:pPr>
          </w:p>
        </w:tc>
      </w:tr>
      <w:tr w:rsidR="00011D29" w:rsidRPr="00217CA0" w14:paraId="3D0F1F44" w14:textId="77777777" w:rsidTr="00A006A3">
        <w:trPr>
          <w:trHeight w:val="409"/>
        </w:trPr>
        <w:tc>
          <w:tcPr>
            <w:tcW w:w="4678" w:type="dxa"/>
          </w:tcPr>
          <w:p w14:paraId="36783F96" w14:textId="77777777" w:rsidR="00011D29" w:rsidRPr="00FD6D2D" w:rsidRDefault="00011D29" w:rsidP="00A006A3">
            <w:pPr>
              <w:ind w:right="-108"/>
              <w:rPr>
                <w:b/>
                <w:sz w:val="22"/>
              </w:rPr>
            </w:pPr>
            <w:r w:rsidRPr="00FD6D2D">
              <w:rPr>
                <w:sz w:val="22"/>
              </w:rPr>
              <w:t>Level and type of renewable and low carbon energy schemes permitted</w:t>
            </w:r>
          </w:p>
        </w:tc>
        <w:tc>
          <w:tcPr>
            <w:tcW w:w="4565" w:type="dxa"/>
          </w:tcPr>
          <w:p w14:paraId="3E2C2BCB" w14:textId="77777777" w:rsidR="00011D29" w:rsidRPr="00217CA0" w:rsidRDefault="00011D29" w:rsidP="00A006A3">
            <w:pPr>
              <w:ind w:left="34" w:right="-108"/>
              <w:rPr>
                <w:sz w:val="22"/>
              </w:rPr>
            </w:pPr>
            <w:r w:rsidRPr="00217CA0">
              <w:rPr>
                <w:sz w:val="22"/>
              </w:rPr>
              <w:t>Increase in numbers of applications permitted</w:t>
            </w:r>
          </w:p>
        </w:tc>
        <w:tc>
          <w:tcPr>
            <w:tcW w:w="1417" w:type="dxa"/>
            <w:tcBorders>
              <w:right w:val="single" w:sz="4" w:space="0" w:color="auto"/>
            </w:tcBorders>
          </w:tcPr>
          <w:p w14:paraId="3F98DD78" w14:textId="77777777" w:rsidR="00011D29" w:rsidRPr="00217CA0" w:rsidRDefault="00011D29" w:rsidP="00A006A3">
            <w:pPr>
              <w:ind w:right="-108"/>
              <w:rPr>
                <w:sz w:val="22"/>
              </w:rPr>
            </w:pPr>
            <w:r w:rsidRPr="00217CA0">
              <w:rPr>
                <w:sz w:val="22"/>
              </w:rPr>
              <w:t>SP14</w:t>
            </w:r>
          </w:p>
        </w:tc>
        <w:tc>
          <w:tcPr>
            <w:tcW w:w="3544" w:type="dxa"/>
            <w:tcBorders>
              <w:left w:val="single" w:sz="4" w:space="0" w:color="auto"/>
            </w:tcBorders>
          </w:tcPr>
          <w:p w14:paraId="66750C73" w14:textId="77777777" w:rsidR="00011D29" w:rsidRPr="00217CA0" w:rsidRDefault="00011D29" w:rsidP="00A006A3">
            <w:pPr>
              <w:ind w:left="34" w:right="-108"/>
              <w:rPr>
                <w:sz w:val="22"/>
              </w:rPr>
            </w:pPr>
            <w:r w:rsidRPr="00217CA0">
              <w:rPr>
                <w:sz w:val="22"/>
              </w:rPr>
              <w:t xml:space="preserve">Significant </w:t>
            </w:r>
            <w:proofErr w:type="gramStart"/>
            <w:r w:rsidRPr="00217CA0">
              <w:rPr>
                <w:sz w:val="22"/>
              </w:rPr>
              <w:t>amount</w:t>
            </w:r>
            <w:proofErr w:type="gramEnd"/>
            <w:r w:rsidRPr="00217CA0">
              <w:rPr>
                <w:sz w:val="22"/>
              </w:rPr>
              <w:t xml:space="preserve"> of schemes permitted, comprising domestic solar panels, or heat pumps.</w:t>
            </w:r>
          </w:p>
        </w:tc>
        <w:tc>
          <w:tcPr>
            <w:tcW w:w="538" w:type="dxa"/>
            <w:shd w:val="clear" w:color="auto" w:fill="008000"/>
          </w:tcPr>
          <w:p w14:paraId="336B7909" w14:textId="77777777" w:rsidR="00011D29" w:rsidRPr="00217CA0" w:rsidRDefault="00011D29" w:rsidP="00A006A3">
            <w:pPr>
              <w:jc w:val="center"/>
              <w:rPr>
                <w:sz w:val="22"/>
              </w:rPr>
            </w:pPr>
          </w:p>
        </w:tc>
      </w:tr>
      <w:tr w:rsidR="00011D29" w:rsidRPr="00217CA0" w14:paraId="5DE020C1" w14:textId="77777777" w:rsidTr="00A006A3">
        <w:trPr>
          <w:trHeight w:val="409"/>
        </w:trPr>
        <w:tc>
          <w:tcPr>
            <w:tcW w:w="4678" w:type="dxa"/>
          </w:tcPr>
          <w:p w14:paraId="082F5B1C" w14:textId="77777777" w:rsidR="00011D29" w:rsidRPr="00FD6D2D" w:rsidRDefault="00011D29" w:rsidP="00A006A3">
            <w:pPr>
              <w:ind w:right="-108"/>
              <w:rPr>
                <w:sz w:val="22"/>
              </w:rPr>
            </w:pPr>
            <w:r w:rsidRPr="00FD6D2D">
              <w:rPr>
                <w:sz w:val="22"/>
              </w:rPr>
              <w:t xml:space="preserve">Work with neighbouring authorities to monitor changes in air quality on the New Forest’s Natura 2000 sites </w:t>
            </w:r>
          </w:p>
        </w:tc>
        <w:tc>
          <w:tcPr>
            <w:tcW w:w="4565" w:type="dxa"/>
          </w:tcPr>
          <w:p w14:paraId="1BC6E7C3" w14:textId="77777777" w:rsidR="00011D29" w:rsidRPr="00217CA0" w:rsidRDefault="00011D29" w:rsidP="00A006A3">
            <w:pPr>
              <w:ind w:left="34" w:right="-108"/>
              <w:rPr>
                <w:sz w:val="22"/>
              </w:rPr>
            </w:pPr>
            <w:r w:rsidRPr="00217CA0">
              <w:rPr>
                <w:sz w:val="22"/>
              </w:rPr>
              <w:t>To establish the trend of movement in critical levels of pollutants for the Natura 2000 sites and work with partners on a strategic mitigation package if significant effects are likely to affect the integrity of sites</w:t>
            </w:r>
          </w:p>
        </w:tc>
        <w:tc>
          <w:tcPr>
            <w:tcW w:w="1417" w:type="dxa"/>
            <w:tcBorders>
              <w:right w:val="single" w:sz="4" w:space="0" w:color="auto"/>
            </w:tcBorders>
          </w:tcPr>
          <w:p w14:paraId="38B5EC39" w14:textId="77777777" w:rsidR="00011D29" w:rsidRPr="00217CA0" w:rsidRDefault="00011D29" w:rsidP="00A006A3">
            <w:pPr>
              <w:ind w:right="-108"/>
              <w:rPr>
                <w:sz w:val="22"/>
              </w:rPr>
            </w:pPr>
            <w:r w:rsidRPr="00217CA0">
              <w:rPr>
                <w:sz w:val="22"/>
              </w:rPr>
              <w:t>SP5, SP6</w:t>
            </w:r>
          </w:p>
        </w:tc>
        <w:tc>
          <w:tcPr>
            <w:tcW w:w="3544" w:type="dxa"/>
            <w:tcBorders>
              <w:left w:val="single" w:sz="4" w:space="0" w:color="auto"/>
            </w:tcBorders>
          </w:tcPr>
          <w:p w14:paraId="36340C04" w14:textId="77777777" w:rsidR="00011D29" w:rsidRPr="00217CA0" w:rsidRDefault="00011D29" w:rsidP="00A006A3">
            <w:pPr>
              <w:ind w:left="34" w:right="-108"/>
              <w:rPr>
                <w:sz w:val="22"/>
              </w:rPr>
            </w:pPr>
            <w:r w:rsidRPr="00217CA0">
              <w:rPr>
                <w:sz w:val="22"/>
              </w:rPr>
              <w:t xml:space="preserve">Ecological consultants </w:t>
            </w:r>
            <w:r>
              <w:rPr>
                <w:sz w:val="22"/>
              </w:rPr>
              <w:t xml:space="preserve">continue to undertake regular </w:t>
            </w:r>
            <w:r w:rsidRPr="00217CA0">
              <w:rPr>
                <w:sz w:val="22"/>
              </w:rPr>
              <w:t>monitoring</w:t>
            </w:r>
            <w:r>
              <w:rPr>
                <w:sz w:val="22"/>
              </w:rPr>
              <w:t xml:space="preserve"> of</w:t>
            </w:r>
            <w:r w:rsidRPr="00217CA0">
              <w:rPr>
                <w:sz w:val="22"/>
              </w:rPr>
              <w:t xml:space="preserve"> air quality</w:t>
            </w:r>
            <w:r>
              <w:rPr>
                <w:sz w:val="22"/>
              </w:rPr>
              <w:t>.</w:t>
            </w:r>
          </w:p>
        </w:tc>
        <w:tc>
          <w:tcPr>
            <w:tcW w:w="538" w:type="dxa"/>
          </w:tcPr>
          <w:p w14:paraId="05BDCFF8" w14:textId="77777777" w:rsidR="00011D29" w:rsidRPr="00217CA0" w:rsidRDefault="00011D29" w:rsidP="00A006A3">
            <w:pPr>
              <w:jc w:val="center"/>
              <w:rPr>
                <w:sz w:val="22"/>
              </w:rPr>
            </w:pPr>
          </w:p>
        </w:tc>
      </w:tr>
    </w:tbl>
    <w:p w14:paraId="7A5566C6" w14:textId="77777777" w:rsidR="00011D29" w:rsidRPr="00217CA0" w:rsidRDefault="00011D29" w:rsidP="00011D29">
      <w:pPr>
        <w:ind w:left="-567" w:right="-217"/>
        <w:rPr>
          <w:b/>
        </w:rPr>
      </w:pPr>
    </w:p>
    <w:p w14:paraId="3954B1E4" w14:textId="77777777" w:rsidR="00011D29" w:rsidRPr="00217CA0" w:rsidRDefault="00011D29" w:rsidP="00011D29">
      <w:pPr>
        <w:shd w:val="clear" w:color="auto" w:fill="D9D9D9" w:themeFill="background1" w:themeFillShade="D9"/>
        <w:ind w:left="-567" w:right="-217"/>
        <w:rPr>
          <w:b/>
        </w:rPr>
      </w:pPr>
      <w:r w:rsidRPr="00217CA0">
        <w:rPr>
          <w:b/>
        </w:rPr>
        <w:t>Protecting and Enhancing the Built Environment</w:t>
      </w:r>
    </w:p>
    <w:p w14:paraId="01394A54" w14:textId="77777777" w:rsidR="00011D29" w:rsidRPr="00217CA0" w:rsidRDefault="00011D29" w:rsidP="00011D29">
      <w:pPr>
        <w:rPr>
          <w:b/>
          <w:sz w:val="20"/>
          <w:szCs w:val="20"/>
        </w:rPr>
      </w:pPr>
    </w:p>
    <w:tbl>
      <w:tblPr>
        <w:tblStyle w:val="TableGrid"/>
        <w:tblW w:w="14742" w:type="dxa"/>
        <w:tblInd w:w="-459" w:type="dxa"/>
        <w:tblLayout w:type="fixed"/>
        <w:tblLook w:val="04A0" w:firstRow="1" w:lastRow="0" w:firstColumn="1" w:lastColumn="0" w:noHBand="0" w:noVBand="1"/>
      </w:tblPr>
      <w:tblGrid>
        <w:gridCol w:w="4536"/>
        <w:gridCol w:w="4707"/>
        <w:gridCol w:w="1814"/>
        <w:gridCol w:w="3147"/>
        <w:gridCol w:w="538"/>
      </w:tblGrid>
      <w:tr w:rsidR="00011D29" w:rsidRPr="00217CA0" w14:paraId="2AEE79E6" w14:textId="77777777" w:rsidTr="00A006A3">
        <w:tc>
          <w:tcPr>
            <w:tcW w:w="4536" w:type="dxa"/>
            <w:shd w:val="clear" w:color="auto" w:fill="F2F2F2" w:themeFill="background1" w:themeFillShade="F2"/>
          </w:tcPr>
          <w:p w14:paraId="0DE52B78" w14:textId="77777777" w:rsidR="00011D29" w:rsidRPr="00217CA0" w:rsidRDefault="00011D29" w:rsidP="00A006A3">
            <w:pPr>
              <w:ind w:right="-108"/>
              <w:rPr>
                <w:b/>
                <w:sz w:val="22"/>
              </w:rPr>
            </w:pPr>
            <w:r w:rsidRPr="00217CA0">
              <w:rPr>
                <w:b/>
                <w:sz w:val="22"/>
              </w:rPr>
              <w:t>Indicator</w:t>
            </w:r>
          </w:p>
        </w:tc>
        <w:tc>
          <w:tcPr>
            <w:tcW w:w="4707" w:type="dxa"/>
            <w:shd w:val="clear" w:color="auto" w:fill="F2F2F2" w:themeFill="background1" w:themeFillShade="F2"/>
          </w:tcPr>
          <w:p w14:paraId="2BC161DA" w14:textId="77777777" w:rsidR="00011D29" w:rsidRPr="00217CA0" w:rsidRDefault="00011D29" w:rsidP="00A006A3">
            <w:pPr>
              <w:rPr>
                <w:b/>
                <w:sz w:val="22"/>
              </w:rPr>
            </w:pPr>
            <w:r w:rsidRPr="00217CA0">
              <w:rPr>
                <w:b/>
                <w:sz w:val="22"/>
              </w:rPr>
              <w:t>Target</w:t>
            </w:r>
          </w:p>
        </w:tc>
        <w:tc>
          <w:tcPr>
            <w:tcW w:w="1814" w:type="dxa"/>
            <w:tcBorders>
              <w:right w:val="single" w:sz="4" w:space="0" w:color="auto"/>
            </w:tcBorders>
            <w:shd w:val="clear" w:color="auto" w:fill="F2F2F2" w:themeFill="background1" w:themeFillShade="F2"/>
          </w:tcPr>
          <w:p w14:paraId="34D3C392" w14:textId="77777777" w:rsidR="00011D29" w:rsidRPr="00217CA0" w:rsidRDefault="00011D29" w:rsidP="00A006A3">
            <w:pPr>
              <w:ind w:right="-108"/>
              <w:rPr>
                <w:b/>
                <w:sz w:val="22"/>
              </w:rPr>
            </w:pPr>
            <w:r w:rsidRPr="00217CA0">
              <w:rPr>
                <w:b/>
                <w:sz w:val="22"/>
              </w:rPr>
              <w:t>Local Plan policies</w:t>
            </w:r>
          </w:p>
        </w:tc>
        <w:tc>
          <w:tcPr>
            <w:tcW w:w="3147" w:type="dxa"/>
            <w:tcBorders>
              <w:left w:val="single" w:sz="4" w:space="0" w:color="auto"/>
            </w:tcBorders>
            <w:shd w:val="clear" w:color="auto" w:fill="F2F2F2" w:themeFill="background1" w:themeFillShade="F2"/>
          </w:tcPr>
          <w:p w14:paraId="3B02924A" w14:textId="77777777" w:rsidR="00011D29" w:rsidRPr="00217CA0" w:rsidRDefault="00011D29" w:rsidP="00A006A3">
            <w:pPr>
              <w:rPr>
                <w:b/>
                <w:sz w:val="22"/>
              </w:rPr>
            </w:pPr>
            <w:r w:rsidRPr="00217CA0">
              <w:rPr>
                <w:b/>
                <w:sz w:val="22"/>
              </w:rPr>
              <w:t>Outcome</w:t>
            </w:r>
          </w:p>
        </w:tc>
        <w:tc>
          <w:tcPr>
            <w:tcW w:w="538" w:type="dxa"/>
            <w:shd w:val="clear" w:color="auto" w:fill="F2F2F2" w:themeFill="background1" w:themeFillShade="F2"/>
          </w:tcPr>
          <w:p w14:paraId="6CB305B2" w14:textId="77777777" w:rsidR="00011D29" w:rsidRPr="00217CA0" w:rsidRDefault="00011D29" w:rsidP="00A006A3">
            <w:pPr>
              <w:rPr>
                <w:b/>
                <w:sz w:val="22"/>
              </w:rPr>
            </w:pPr>
          </w:p>
        </w:tc>
      </w:tr>
      <w:tr w:rsidR="00011D29" w:rsidRPr="00217CA0" w14:paraId="6142B600" w14:textId="77777777" w:rsidTr="00A006A3">
        <w:trPr>
          <w:trHeight w:val="663"/>
        </w:trPr>
        <w:tc>
          <w:tcPr>
            <w:tcW w:w="4536" w:type="dxa"/>
            <w:tcBorders>
              <w:bottom w:val="single" w:sz="4" w:space="0" w:color="auto"/>
            </w:tcBorders>
          </w:tcPr>
          <w:p w14:paraId="19C72654" w14:textId="77777777" w:rsidR="00011D29" w:rsidRPr="00FD6D2D" w:rsidRDefault="00011D29" w:rsidP="00A006A3">
            <w:pPr>
              <w:ind w:right="-108"/>
              <w:rPr>
                <w:sz w:val="22"/>
              </w:rPr>
            </w:pPr>
            <w:r w:rsidRPr="00FD6D2D">
              <w:rPr>
                <w:sz w:val="22"/>
              </w:rPr>
              <w:t xml:space="preserve">Planning applications refused </w:t>
            </w:r>
            <w:proofErr w:type="gramStart"/>
            <w:r w:rsidRPr="00FD6D2D">
              <w:rPr>
                <w:sz w:val="22"/>
              </w:rPr>
              <w:t>on the basis of</w:t>
            </w:r>
            <w:proofErr w:type="gramEnd"/>
            <w:r w:rsidRPr="00FD6D2D">
              <w:rPr>
                <w:sz w:val="22"/>
              </w:rPr>
              <w:t xml:space="preserve"> impacts on the historic environment</w:t>
            </w:r>
          </w:p>
        </w:tc>
        <w:tc>
          <w:tcPr>
            <w:tcW w:w="4707" w:type="dxa"/>
            <w:tcBorders>
              <w:bottom w:val="single" w:sz="4" w:space="0" w:color="auto"/>
            </w:tcBorders>
          </w:tcPr>
          <w:p w14:paraId="081619B8" w14:textId="77777777" w:rsidR="00011D29" w:rsidRPr="00217CA0" w:rsidRDefault="00011D29" w:rsidP="00A006A3">
            <w:pPr>
              <w:ind w:right="-44"/>
              <w:rPr>
                <w:sz w:val="22"/>
              </w:rPr>
            </w:pPr>
            <w:r w:rsidRPr="00217CA0">
              <w:rPr>
                <w:sz w:val="22"/>
              </w:rPr>
              <w:t xml:space="preserve">Not to allow development that would have adverse impacts on the Park’s historic environment </w:t>
            </w:r>
          </w:p>
        </w:tc>
        <w:tc>
          <w:tcPr>
            <w:tcW w:w="1814" w:type="dxa"/>
            <w:tcBorders>
              <w:bottom w:val="single" w:sz="4" w:space="0" w:color="auto"/>
              <w:right w:val="single" w:sz="4" w:space="0" w:color="auto"/>
            </w:tcBorders>
          </w:tcPr>
          <w:p w14:paraId="52E559F8" w14:textId="77777777" w:rsidR="00011D29" w:rsidRPr="00217CA0" w:rsidRDefault="00011D29" w:rsidP="00A006A3">
            <w:pPr>
              <w:rPr>
                <w:sz w:val="22"/>
              </w:rPr>
            </w:pPr>
            <w:r w:rsidRPr="00217CA0">
              <w:rPr>
                <w:sz w:val="22"/>
              </w:rPr>
              <w:t>SP16</w:t>
            </w:r>
          </w:p>
          <w:p w14:paraId="43B96CCA" w14:textId="77777777" w:rsidR="00011D29" w:rsidRPr="00217CA0" w:rsidRDefault="00011D29" w:rsidP="00A006A3">
            <w:pPr>
              <w:ind w:right="-108"/>
              <w:rPr>
                <w:sz w:val="22"/>
              </w:rPr>
            </w:pPr>
          </w:p>
        </w:tc>
        <w:tc>
          <w:tcPr>
            <w:tcW w:w="3147" w:type="dxa"/>
            <w:tcBorders>
              <w:left w:val="single" w:sz="4" w:space="0" w:color="auto"/>
              <w:bottom w:val="single" w:sz="4" w:space="0" w:color="auto"/>
            </w:tcBorders>
          </w:tcPr>
          <w:p w14:paraId="3B8F583A" w14:textId="77777777" w:rsidR="00011D29" w:rsidRPr="00217CA0" w:rsidRDefault="00011D29" w:rsidP="00A006A3">
            <w:pPr>
              <w:ind w:left="34" w:right="-108"/>
              <w:rPr>
                <w:sz w:val="22"/>
              </w:rPr>
            </w:pPr>
            <w:r w:rsidRPr="00217CA0">
              <w:rPr>
                <w:sz w:val="22"/>
              </w:rPr>
              <w:t xml:space="preserve">Remains a significant reason for refusal and the new Local Plan policies have been strengthened. </w:t>
            </w:r>
          </w:p>
        </w:tc>
        <w:tc>
          <w:tcPr>
            <w:tcW w:w="538" w:type="dxa"/>
            <w:tcBorders>
              <w:bottom w:val="single" w:sz="4" w:space="0" w:color="auto"/>
            </w:tcBorders>
            <w:shd w:val="clear" w:color="auto" w:fill="008000"/>
          </w:tcPr>
          <w:p w14:paraId="0538708E" w14:textId="77777777" w:rsidR="00011D29" w:rsidRPr="00217CA0" w:rsidRDefault="00011D29" w:rsidP="00A006A3">
            <w:pPr>
              <w:jc w:val="center"/>
              <w:rPr>
                <w:sz w:val="20"/>
                <w:szCs w:val="20"/>
              </w:rPr>
            </w:pPr>
          </w:p>
        </w:tc>
      </w:tr>
      <w:tr w:rsidR="00011D29" w:rsidRPr="00217CA0" w14:paraId="277B333B" w14:textId="77777777" w:rsidTr="00A006A3">
        <w:trPr>
          <w:trHeight w:val="542"/>
        </w:trPr>
        <w:tc>
          <w:tcPr>
            <w:tcW w:w="4536" w:type="dxa"/>
            <w:tcBorders>
              <w:bottom w:val="single" w:sz="4" w:space="0" w:color="auto"/>
            </w:tcBorders>
          </w:tcPr>
          <w:p w14:paraId="574D039A" w14:textId="77777777" w:rsidR="00011D29" w:rsidRPr="00FD6D2D" w:rsidRDefault="00011D29" w:rsidP="00A006A3">
            <w:pPr>
              <w:rPr>
                <w:sz w:val="22"/>
              </w:rPr>
            </w:pPr>
            <w:r w:rsidRPr="00FD6D2D">
              <w:rPr>
                <w:sz w:val="22"/>
              </w:rPr>
              <w:t>Planning applications refused on design grounds</w:t>
            </w:r>
          </w:p>
        </w:tc>
        <w:tc>
          <w:tcPr>
            <w:tcW w:w="4707" w:type="dxa"/>
            <w:tcBorders>
              <w:bottom w:val="single" w:sz="4" w:space="0" w:color="auto"/>
            </w:tcBorders>
          </w:tcPr>
          <w:p w14:paraId="40901079" w14:textId="77777777" w:rsidR="00011D29" w:rsidRPr="00217CA0" w:rsidRDefault="00011D29" w:rsidP="00A006A3">
            <w:pPr>
              <w:ind w:right="-44"/>
              <w:rPr>
                <w:sz w:val="22"/>
              </w:rPr>
            </w:pPr>
            <w:r w:rsidRPr="00217CA0">
              <w:rPr>
                <w:sz w:val="22"/>
              </w:rPr>
              <w:t>Not to allow development that would be incompatible with the character of the area</w:t>
            </w:r>
          </w:p>
        </w:tc>
        <w:tc>
          <w:tcPr>
            <w:tcW w:w="1814" w:type="dxa"/>
            <w:tcBorders>
              <w:bottom w:val="single" w:sz="4" w:space="0" w:color="auto"/>
              <w:right w:val="single" w:sz="4" w:space="0" w:color="auto"/>
            </w:tcBorders>
          </w:tcPr>
          <w:p w14:paraId="71D4D084" w14:textId="77777777" w:rsidR="00011D29" w:rsidRPr="00217CA0" w:rsidRDefault="00011D29" w:rsidP="00A006A3">
            <w:pPr>
              <w:pStyle w:val="ListParagraph"/>
              <w:ind w:left="0" w:right="-108"/>
              <w:rPr>
                <w:sz w:val="22"/>
              </w:rPr>
            </w:pPr>
            <w:r w:rsidRPr="00217CA0">
              <w:rPr>
                <w:sz w:val="22"/>
              </w:rPr>
              <w:t>SP17, DP18</w:t>
            </w:r>
          </w:p>
        </w:tc>
        <w:tc>
          <w:tcPr>
            <w:tcW w:w="3147" w:type="dxa"/>
            <w:tcBorders>
              <w:left w:val="single" w:sz="4" w:space="0" w:color="auto"/>
              <w:bottom w:val="single" w:sz="4" w:space="0" w:color="auto"/>
            </w:tcBorders>
          </w:tcPr>
          <w:p w14:paraId="0C503AA3" w14:textId="77777777" w:rsidR="00011D29" w:rsidRPr="00217CA0" w:rsidRDefault="00011D29" w:rsidP="00A006A3">
            <w:pPr>
              <w:pStyle w:val="ListParagraph"/>
              <w:ind w:left="0"/>
              <w:rPr>
                <w:sz w:val="22"/>
              </w:rPr>
            </w:pPr>
            <w:r w:rsidRPr="00217CA0">
              <w:rPr>
                <w:sz w:val="22"/>
              </w:rPr>
              <w:t>Remains a significant reason for refusal.</w:t>
            </w:r>
          </w:p>
        </w:tc>
        <w:tc>
          <w:tcPr>
            <w:tcW w:w="538" w:type="dxa"/>
            <w:tcBorders>
              <w:bottom w:val="single" w:sz="4" w:space="0" w:color="auto"/>
            </w:tcBorders>
            <w:shd w:val="clear" w:color="auto" w:fill="008000"/>
          </w:tcPr>
          <w:p w14:paraId="7CE63B3B" w14:textId="77777777" w:rsidR="00011D29" w:rsidRPr="00217CA0" w:rsidRDefault="00011D29" w:rsidP="00A006A3">
            <w:pPr>
              <w:jc w:val="center"/>
              <w:rPr>
                <w:sz w:val="20"/>
                <w:szCs w:val="20"/>
              </w:rPr>
            </w:pPr>
          </w:p>
        </w:tc>
      </w:tr>
    </w:tbl>
    <w:p w14:paraId="3C692E62" w14:textId="77777777" w:rsidR="00011D29" w:rsidRPr="00217CA0" w:rsidRDefault="00011D29" w:rsidP="00011D29">
      <w:pPr>
        <w:rPr>
          <w:b/>
          <w:sz w:val="28"/>
          <w:szCs w:val="28"/>
        </w:rPr>
      </w:pPr>
    </w:p>
    <w:p w14:paraId="2A25382D" w14:textId="77777777" w:rsidR="00011D29" w:rsidRPr="00217CA0" w:rsidRDefault="00011D29" w:rsidP="00011D29">
      <w:pPr>
        <w:rPr>
          <w:b/>
        </w:rPr>
      </w:pPr>
    </w:p>
    <w:p w14:paraId="70E8D044" w14:textId="77777777" w:rsidR="00011D29" w:rsidRPr="00217CA0" w:rsidRDefault="00011D29" w:rsidP="00011D29">
      <w:pPr>
        <w:shd w:val="clear" w:color="auto" w:fill="D9D9D9" w:themeFill="background1" w:themeFillShade="D9"/>
        <w:ind w:left="-567" w:right="-217"/>
        <w:rPr>
          <w:b/>
        </w:rPr>
      </w:pPr>
      <w:r w:rsidRPr="00217CA0">
        <w:rPr>
          <w:b/>
        </w:rPr>
        <w:t>Vibrant Communities</w:t>
      </w:r>
    </w:p>
    <w:p w14:paraId="2E8AAA34" w14:textId="77777777" w:rsidR="00011D29" w:rsidRPr="00217CA0" w:rsidRDefault="00011D29" w:rsidP="00011D29">
      <w:pPr>
        <w:rPr>
          <w:b/>
          <w:sz w:val="20"/>
          <w:szCs w:val="20"/>
        </w:rPr>
      </w:pPr>
    </w:p>
    <w:tbl>
      <w:tblPr>
        <w:tblStyle w:val="TableGrid"/>
        <w:tblW w:w="14742" w:type="dxa"/>
        <w:tblInd w:w="-459" w:type="dxa"/>
        <w:tblLayout w:type="fixed"/>
        <w:tblLook w:val="04A0" w:firstRow="1" w:lastRow="0" w:firstColumn="1" w:lastColumn="0" w:noHBand="0" w:noVBand="1"/>
      </w:tblPr>
      <w:tblGrid>
        <w:gridCol w:w="4536"/>
        <w:gridCol w:w="4565"/>
        <w:gridCol w:w="1701"/>
        <w:gridCol w:w="3402"/>
        <w:gridCol w:w="538"/>
      </w:tblGrid>
      <w:tr w:rsidR="00011D29" w:rsidRPr="00217CA0" w14:paraId="5F14F02D" w14:textId="77777777" w:rsidTr="00A006A3">
        <w:tc>
          <w:tcPr>
            <w:tcW w:w="4536" w:type="dxa"/>
            <w:shd w:val="clear" w:color="auto" w:fill="F2F2F2" w:themeFill="background1" w:themeFillShade="F2"/>
          </w:tcPr>
          <w:p w14:paraId="18B05D24" w14:textId="77777777" w:rsidR="00011D29" w:rsidRPr="00217CA0" w:rsidRDefault="00011D29" w:rsidP="00A006A3">
            <w:pPr>
              <w:ind w:right="-108"/>
              <w:rPr>
                <w:b/>
                <w:sz w:val="22"/>
              </w:rPr>
            </w:pPr>
            <w:r w:rsidRPr="00217CA0">
              <w:rPr>
                <w:b/>
                <w:sz w:val="22"/>
              </w:rPr>
              <w:t>Indicator</w:t>
            </w:r>
          </w:p>
        </w:tc>
        <w:tc>
          <w:tcPr>
            <w:tcW w:w="4565" w:type="dxa"/>
            <w:shd w:val="clear" w:color="auto" w:fill="F2F2F2" w:themeFill="background1" w:themeFillShade="F2"/>
          </w:tcPr>
          <w:p w14:paraId="40F1F629" w14:textId="77777777" w:rsidR="00011D29" w:rsidRPr="00217CA0" w:rsidRDefault="00011D29" w:rsidP="00A006A3">
            <w:pPr>
              <w:rPr>
                <w:b/>
                <w:sz w:val="22"/>
              </w:rPr>
            </w:pPr>
            <w:r w:rsidRPr="00217CA0">
              <w:rPr>
                <w:b/>
                <w:sz w:val="22"/>
              </w:rPr>
              <w:t>Target</w:t>
            </w:r>
          </w:p>
        </w:tc>
        <w:tc>
          <w:tcPr>
            <w:tcW w:w="1701" w:type="dxa"/>
            <w:tcBorders>
              <w:right w:val="single" w:sz="4" w:space="0" w:color="auto"/>
            </w:tcBorders>
            <w:shd w:val="clear" w:color="auto" w:fill="F2F2F2" w:themeFill="background1" w:themeFillShade="F2"/>
          </w:tcPr>
          <w:p w14:paraId="1D7D52B2" w14:textId="77777777" w:rsidR="00011D29" w:rsidRPr="00217CA0" w:rsidRDefault="00011D29" w:rsidP="00A006A3">
            <w:pPr>
              <w:ind w:right="-108"/>
              <w:rPr>
                <w:b/>
                <w:sz w:val="22"/>
              </w:rPr>
            </w:pPr>
            <w:r w:rsidRPr="00217CA0">
              <w:rPr>
                <w:b/>
                <w:sz w:val="22"/>
              </w:rPr>
              <w:t>Local Plan policies</w:t>
            </w:r>
          </w:p>
        </w:tc>
        <w:tc>
          <w:tcPr>
            <w:tcW w:w="3402" w:type="dxa"/>
            <w:tcBorders>
              <w:left w:val="single" w:sz="4" w:space="0" w:color="auto"/>
            </w:tcBorders>
            <w:shd w:val="clear" w:color="auto" w:fill="F2F2F2" w:themeFill="background1" w:themeFillShade="F2"/>
          </w:tcPr>
          <w:p w14:paraId="6BDA3B4C" w14:textId="77777777" w:rsidR="00011D29" w:rsidRPr="00217CA0" w:rsidRDefault="00011D29" w:rsidP="00A006A3">
            <w:pPr>
              <w:rPr>
                <w:b/>
                <w:sz w:val="22"/>
              </w:rPr>
            </w:pPr>
            <w:r w:rsidRPr="00217CA0">
              <w:rPr>
                <w:b/>
                <w:sz w:val="22"/>
              </w:rPr>
              <w:t>Outcome</w:t>
            </w:r>
          </w:p>
        </w:tc>
        <w:tc>
          <w:tcPr>
            <w:tcW w:w="538" w:type="dxa"/>
            <w:shd w:val="clear" w:color="auto" w:fill="F2F2F2" w:themeFill="background1" w:themeFillShade="F2"/>
          </w:tcPr>
          <w:p w14:paraId="2E21BB23" w14:textId="77777777" w:rsidR="00011D29" w:rsidRPr="00217CA0" w:rsidRDefault="00011D29" w:rsidP="00A006A3">
            <w:pPr>
              <w:rPr>
                <w:b/>
                <w:sz w:val="22"/>
              </w:rPr>
            </w:pPr>
          </w:p>
        </w:tc>
      </w:tr>
      <w:tr w:rsidR="00011D29" w:rsidRPr="00217CA0" w14:paraId="1E82D4CC" w14:textId="77777777" w:rsidTr="00A006A3">
        <w:trPr>
          <w:trHeight w:val="461"/>
        </w:trPr>
        <w:tc>
          <w:tcPr>
            <w:tcW w:w="4536" w:type="dxa"/>
            <w:tcBorders>
              <w:bottom w:val="single" w:sz="4" w:space="0" w:color="auto"/>
            </w:tcBorders>
          </w:tcPr>
          <w:p w14:paraId="414ECC9C" w14:textId="77777777" w:rsidR="00011D29" w:rsidRPr="00217CA0" w:rsidRDefault="00011D29" w:rsidP="00A006A3">
            <w:pPr>
              <w:ind w:right="-108"/>
              <w:rPr>
                <w:sz w:val="22"/>
              </w:rPr>
            </w:pPr>
            <w:r w:rsidRPr="00FD6D2D">
              <w:rPr>
                <w:sz w:val="22"/>
              </w:rPr>
              <w:t>Proportion</w:t>
            </w:r>
            <w:r w:rsidRPr="00217CA0">
              <w:rPr>
                <w:sz w:val="22"/>
              </w:rPr>
              <w:t xml:space="preserve"> of new employment development, dwellings, retail uses and community facilities in the four defined villages</w:t>
            </w:r>
          </w:p>
        </w:tc>
        <w:tc>
          <w:tcPr>
            <w:tcW w:w="4565" w:type="dxa"/>
            <w:tcBorders>
              <w:bottom w:val="single" w:sz="4" w:space="0" w:color="auto"/>
            </w:tcBorders>
          </w:tcPr>
          <w:p w14:paraId="070C437C" w14:textId="77777777" w:rsidR="00011D29" w:rsidRPr="00217CA0" w:rsidRDefault="00011D29" w:rsidP="00A006A3">
            <w:pPr>
              <w:ind w:right="-44"/>
              <w:rPr>
                <w:sz w:val="22"/>
              </w:rPr>
            </w:pPr>
            <w:r w:rsidRPr="00217CA0">
              <w:rPr>
                <w:sz w:val="22"/>
              </w:rPr>
              <w:t>To ensure defined villages remain the focus for development</w:t>
            </w:r>
          </w:p>
        </w:tc>
        <w:tc>
          <w:tcPr>
            <w:tcW w:w="1701" w:type="dxa"/>
            <w:tcBorders>
              <w:bottom w:val="single" w:sz="4" w:space="0" w:color="auto"/>
              <w:right w:val="single" w:sz="4" w:space="0" w:color="auto"/>
            </w:tcBorders>
          </w:tcPr>
          <w:p w14:paraId="7C85921B" w14:textId="77777777" w:rsidR="00011D29" w:rsidRPr="00217CA0" w:rsidRDefault="00011D29" w:rsidP="00A006A3">
            <w:pPr>
              <w:ind w:right="-132"/>
              <w:rPr>
                <w:sz w:val="22"/>
              </w:rPr>
            </w:pPr>
            <w:r w:rsidRPr="00217CA0">
              <w:rPr>
                <w:sz w:val="22"/>
              </w:rPr>
              <w:t>SP1, SP19, SP42</w:t>
            </w:r>
          </w:p>
        </w:tc>
        <w:tc>
          <w:tcPr>
            <w:tcW w:w="3402" w:type="dxa"/>
            <w:tcBorders>
              <w:left w:val="single" w:sz="4" w:space="0" w:color="auto"/>
              <w:bottom w:val="single" w:sz="4" w:space="0" w:color="auto"/>
            </w:tcBorders>
          </w:tcPr>
          <w:p w14:paraId="2B432081" w14:textId="7CF95875" w:rsidR="00011D29" w:rsidRPr="00217CA0" w:rsidRDefault="00011D29" w:rsidP="00A006A3">
            <w:pPr>
              <w:rPr>
                <w:sz w:val="22"/>
              </w:rPr>
            </w:pPr>
            <w:r w:rsidRPr="00217CA0">
              <w:rPr>
                <w:sz w:val="22"/>
              </w:rPr>
              <w:t xml:space="preserve">Most new development lies in or adjacent to the defined </w:t>
            </w:r>
            <w:r w:rsidR="00790714" w:rsidRPr="00217CA0">
              <w:rPr>
                <w:sz w:val="22"/>
              </w:rPr>
              <w:t>villages or</w:t>
            </w:r>
            <w:r w:rsidRPr="00217CA0">
              <w:rPr>
                <w:sz w:val="22"/>
              </w:rPr>
              <w:t xml:space="preserve"> is appropriate to a rural location (as supported by Policy SP4).</w:t>
            </w:r>
          </w:p>
        </w:tc>
        <w:tc>
          <w:tcPr>
            <w:tcW w:w="538" w:type="dxa"/>
            <w:tcBorders>
              <w:bottom w:val="single" w:sz="4" w:space="0" w:color="auto"/>
            </w:tcBorders>
            <w:shd w:val="clear" w:color="auto" w:fill="008000"/>
          </w:tcPr>
          <w:p w14:paraId="4942B0BB" w14:textId="77777777" w:rsidR="00011D29" w:rsidRPr="00217CA0" w:rsidRDefault="00011D29" w:rsidP="00A006A3">
            <w:pPr>
              <w:jc w:val="center"/>
              <w:rPr>
                <w:sz w:val="20"/>
                <w:szCs w:val="20"/>
              </w:rPr>
            </w:pPr>
          </w:p>
        </w:tc>
      </w:tr>
      <w:tr w:rsidR="00011D29" w:rsidRPr="00217CA0" w14:paraId="76E3947E" w14:textId="77777777" w:rsidTr="00A006A3">
        <w:trPr>
          <w:trHeight w:val="502"/>
        </w:trPr>
        <w:tc>
          <w:tcPr>
            <w:tcW w:w="4536" w:type="dxa"/>
            <w:tcBorders>
              <w:bottom w:val="single" w:sz="4" w:space="0" w:color="auto"/>
            </w:tcBorders>
          </w:tcPr>
          <w:p w14:paraId="1C2A47F0" w14:textId="77777777" w:rsidR="00011D29" w:rsidRPr="00FD6D2D" w:rsidRDefault="00011D29" w:rsidP="00A006A3">
            <w:pPr>
              <w:ind w:left="33" w:right="-108"/>
              <w:rPr>
                <w:sz w:val="22"/>
              </w:rPr>
            </w:pPr>
            <w:r w:rsidRPr="00FD6D2D">
              <w:rPr>
                <w:sz w:val="22"/>
              </w:rPr>
              <w:lastRenderedPageBreak/>
              <w:t>Density of new dwellings completed</w:t>
            </w:r>
          </w:p>
        </w:tc>
        <w:tc>
          <w:tcPr>
            <w:tcW w:w="4565" w:type="dxa"/>
            <w:tcBorders>
              <w:bottom w:val="single" w:sz="4" w:space="0" w:color="auto"/>
            </w:tcBorders>
          </w:tcPr>
          <w:p w14:paraId="1D169403" w14:textId="77777777" w:rsidR="00011D29" w:rsidRPr="00217CA0" w:rsidRDefault="00011D29" w:rsidP="00A006A3">
            <w:pPr>
              <w:ind w:right="-108"/>
              <w:rPr>
                <w:sz w:val="22"/>
              </w:rPr>
            </w:pPr>
            <w:r w:rsidRPr="00217CA0">
              <w:rPr>
                <w:sz w:val="22"/>
              </w:rPr>
              <w:t>Not to allow development that would be incompatible with the character of the area</w:t>
            </w:r>
          </w:p>
        </w:tc>
        <w:tc>
          <w:tcPr>
            <w:tcW w:w="1701" w:type="dxa"/>
            <w:tcBorders>
              <w:bottom w:val="single" w:sz="4" w:space="0" w:color="auto"/>
              <w:right w:val="single" w:sz="4" w:space="0" w:color="auto"/>
            </w:tcBorders>
          </w:tcPr>
          <w:p w14:paraId="0638F80E" w14:textId="77777777" w:rsidR="00011D29" w:rsidRPr="00217CA0" w:rsidRDefault="00011D29" w:rsidP="00A006A3">
            <w:pPr>
              <w:rPr>
                <w:sz w:val="22"/>
              </w:rPr>
            </w:pPr>
            <w:r w:rsidRPr="00217CA0">
              <w:rPr>
                <w:sz w:val="22"/>
              </w:rPr>
              <w:t>DP2</w:t>
            </w:r>
          </w:p>
          <w:p w14:paraId="5290F711" w14:textId="77777777" w:rsidR="00011D29" w:rsidRPr="00217CA0" w:rsidRDefault="00011D29" w:rsidP="00A006A3">
            <w:pPr>
              <w:ind w:right="-108"/>
              <w:rPr>
                <w:sz w:val="22"/>
              </w:rPr>
            </w:pPr>
          </w:p>
        </w:tc>
        <w:tc>
          <w:tcPr>
            <w:tcW w:w="3402" w:type="dxa"/>
            <w:tcBorders>
              <w:left w:val="single" w:sz="4" w:space="0" w:color="auto"/>
              <w:bottom w:val="single" w:sz="4" w:space="0" w:color="auto"/>
            </w:tcBorders>
          </w:tcPr>
          <w:p w14:paraId="1E633A0B" w14:textId="77777777" w:rsidR="00011D29" w:rsidRPr="00217CA0" w:rsidRDefault="00011D29" w:rsidP="00A006A3">
            <w:pPr>
              <w:rPr>
                <w:sz w:val="22"/>
              </w:rPr>
            </w:pPr>
            <w:r w:rsidRPr="00217CA0">
              <w:rPr>
                <w:sz w:val="22"/>
              </w:rPr>
              <w:t>Density reflects area’s character &amp; nature of sites.</w:t>
            </w:r>
          </w:p>
        </w:tc>
        <w:tc>
          <w:tcPr>
            <w:tcW w:w="538" w:type="dxa"/>
            <w:tcBorders>
              <w:bottom w:val="single" w:sz="4" w:space="0" w:color="auto"/>
            </w:tcBorders>
            <w:shd w:val="clear" w:color="auto" w:fill="008000"/>
          </w:tcPr>
          <w:p w14:paraId="5FB67CEE" w14:textId="77777777" w:rsidR="00011D29" w:rsidRPr="00217CA0" w:rsidRDefault="00011D29" w:rsidP="00A006A3">
            <w:pPr>
              <w:jc w:val="center"/>
              <w:rPr>
                <w:sz w:val="20"/>
                <w:szCs w:val="20"/>
              </w:rPr>
            </w:pPr>
          </w:p>
        </w:tc>
      </w:tr>
      <w:tr w:rsidR="00011D29" w:rsidRPr="00217CA0" w14:paraId="527B8060" w14:textId="77777777" w:rsidTr="00A006A3">
        <w:trPr>
          <w:trHeight w:val="1639"/>
        </w:trPr>
        <w:tc>
          <w:tcPr>
            <w:tcW w:w="4536" w:type="dxa"/>
            <w:tcBorders>
              <w:bottom w:val="single" w:sz="4" w:space="0" w:color="auto"/>
            </w:tcBorders>
          </w:tcPr>
          <w:p w14:paraId="13C4A468" w14:textId="77777777" w:rsidR="00011D29" w:rsidRPr="00FD6D2D" w:rsidRDefault="00011D29" w:rsidP="00A006A3">
            <w:pPr>
              <w:rPr>
                <w:sz w:val="22"/>
              </w:rPr>
            </w:pPr>
            <w:r w:rsidRPr="00FD6D2D">
              <w:rPr>
                <w:sz w:val="22"/>
              </w:rPr>
              <w:t>Location and type of retail development permitted</w:t>
            </w:r>
          </w:p>
        </w:tc>
        <w:tc>
          <w:tcPr>
            <w:tcW w:w="4565" w:type="dxa"/>
            <w:tcBorders>
              <w:bottom w:val="single" w:sz="4" w:space="0" w:color="auto"/>
            </w:tcBorders>
          </w:tcPr>
          <w:p w14:paraId="79E3DC5B" w14:textId="77777777" w:rsidR="00011D29" w:rsidRPr="00217CA0" w:rsidRDefault="00011D29" w:rsidP="00A006A3">
            <w:pPr>
              <w:rPr>
                <w:sz w:val="22"/>
              </w:rPr>
            </w:pPr>
            <w:r w:rsidRPr="00217CA0">
              <w:rPr>
                <w:sz w:val="22"/>
              </w:rPr>
              <w:t>Retain retail uses in 50% of the shopping frontages in Lyndhurst and Brockenhurst, and 40% in Ashurst and Sway shopping frontages</w:t>
            </w:r>
          </w:p>
        </w:tc>
        <w:tc>
          <w:tcPr>
            <w:tcW w:w="1701" w:type="dxa"/>
            <w:tcBorders>
              <w:bottom w:val="single" w:sz="4" w:space="0" w:color="auto"/>
              <w:right w:val="single" w:sz="4" w:space="0" w:color="auto"/>
            </w:tcBorders>
          </w:tcPr>
          <w:p w14:paraId="35898034" w14:textId="77777777" w:rsidR="00011D29" w:rsidRPr="00217CA0" w:rsidRDefault="00011D29" w:rsidP="00A006A3">
            <w:pPr>
              <w:rPr>
                <w:sz w:val="22"/>
              </w:rPr>
            </w:pPr>
            <w:r w:rsidRPr="00217CA0">
              <w:rPr>
                <w:sz w:val="22"/>
              </w:rPr>
              <w:t>DP40</w:t>
            </w:r>
          </w:p>
          <w:p w14:paraId="77080927" w14:textId="77777777" w:rsidR="00011D29" w:rsidRPr="00217CA0" w:rsidRDefault="00011D29" w:rsidP="00A006A3">
            <w:pPr>
              <w:ind w:right="-108"/>
              <w:rPr>
                <w:sz w:val="22"/>
              </w:rPr>
            </w:pPr>
          </w:p>
        </w:tc>
        <w:tc>
          <w:tcPr>
            <w:tcW w:w="3402" w:type="dxa"/>
            <w:tcBorders>
              <w:left w:val="single" w:sz="4" w:space="0" w:color="auto"/>
              <w:bottom w:val="single" w:sz="4" w:space="0" w:color="auto"/>
            </w:tcBorders>
          </w:tcPr>
          <w:p w14:paraId="0A541B33" w14:textId="1EEAF1CE" w:rsidR="00011D29" w:rsidRPr="00217CA0" w:rsidRDefault="00011D29" w:rsidP="00A006A3">
            <w:pPr>
              <w:ind w:right="-106"/>
              <w:rPr>
                <w:sz w:val="22"/>
              </w:rPr>
            </w:pPr>
            <w:r w:rsidRPr="00217CA0">
              <w:rPr>
                <w:sz w:val="22"/>
              </w:rPr>
              <w:t>Brockenhurst &amp; Lyndhurst have more than the recommended proportion of retail units, whilst Sway &amp; Ashurst have fewer retail units (see paragraph 6.</w:t>
            </w:r>
            <w:r w:rsidR="008A3647">
              <w:rPr>
                <w:sz w:val="22"/>
              </w:rPr>
              <w:t>20</w:t>
            </w:r>
            <w:r w:rsidRPr="00217CA0">
              <w:rPr>
                <w:sz w:val="22"/>
              </w:rPr>
              <w:t xml:space="preserve"> – 6.2</w:t>
            </w:r>
            <w:r w:rsidR="008A3647">
              <w:rPr>
                <w:sz w:val="22"/>
              </w:rPr>
              <w:t>3</w:t>
            </w:r>
            <w:r w:rsidRPr="00217CA0">
              <w:rPr>
                <w:sz w:val="22"/>
              </w:rPr>
              <w:t xml:space="preserve"> for details).</w:t>
            </w:r>
          </w:p>
        </w:tc>
        <w:tc>
          <w:tcPr>
            <w:tcW w:w="538" w:type="dxa"/>
            <w:tcBorders>
              <w:bottom w:val="single" w:sz="4" w:space="0" w:color="auto"/>
            </w:tcBorders>
          </w:tcPr>
          <w:p w14:paraId="57A43B15" w14:textId="77777777" w:rsidR="00011D29" w:rsidRPr="00217CA0" w:rsidRDefault="00011D29" w:rsidP="00A006A3">
            <w:pPr>
              <w:jc w:val="center"/>
              <w:rPr>
                <w:sz w:val="20"/>
                <w:szCs w:val="20"/>
              </w:rPr>
            </w:pPr>
          </w:p>
        </w:tc>
      </w:tr>
      <w:tr w:rsidR="00011D29" w:rsidRPr="00217CA0" w14:paraId="5EA020C5" w14:textId="77777777" w:rsidTr="00A006A3">
        <w:trPr>
          <w:trHeight w:val="532"/>
        </w:trPr>
        <w:tc>
          <w:tcPr>
            <w:tcW w:w="4536" w:type="dxa"/>
            <w:tcBorders>
              <w:bottom w:val="single" w:sz="4" w:space="0" w:color="auto"/>
            </w:tcBorders>
          </w:tcPr>
          <w:p w14:paraId="66F8C45B" w14:textId="77777777" w:rsidR="00011D29" w:rsidRPr="00FD6D2D" w:rsidRDefault="00011D29" w:rsidP="00A006A3">
            <w:pPr>
              <w:ind w:left="34"/>
              <w:rPr>
                <w:sz w:val="22"/>
              </w:rPr>
            </w:pPr>
            <w:r w:rsidRPr="00FD6D2D">
              <w:rPr>
                <w:sz w:val="22"/>
              </w:rPr>
              <w:t>Location and type of new / enhanced community facilities</w:t>
            </w:r>
          </w:p>
        </w:tc>
        <w:tc>
          <w:tcPr>
            <w:tcW w:w="4565" w:type="dxa"/>
            <w:tcBorders>
              <w:bottom w:val="single" w:sz="4" w:space="0" w:color="auto"/>
            </w:tcBorders>
          </w:tcPr>
          <w:p w14:paraId="7091BCF5" w14:textId="77777777" w:rsidR="00011D29" w:rsidRPr="00217CA0" w:rsidRDefault="00011D29" w:rsidP="00A006A3">
            <w:pPr>
              <w:ind w:right="-44"/>
              <w:rPr>
                <w:sz w:val="22"/>
              </w:rPr>
            </w:pPr>
            <w:r w:rsidRPr="00217CA0">
              <w:rPr>
                <w:sz w:val="22"/>
              </w:rPr>
              <w:t>Net gain in facilities / improved facilities</w:t>
            </w:r>
          </w:p>
        </w:tc>
        <w:tc>
          <w:tcPr>
            <w:tcW w:w="1701" w:type="dxa"/>
            <w:tcBorders>
              <w:bottom w:val="single" w:sz="4" w:space="0" w:color="auto"/>
              <w:right w:val="single" w:sz="4" w:space="0" w:color="auto"/>
            </w:tcBorders>
          </w:tcPr>
          <w:p w14:paraId="220B0468" w14:textId="77777777" w:rsidR="00011D29" w:rsidRPr="00217CA0" w:rsidRDefault="00011D29" w:rsidP="00A006A3">
            <w:pPr>
              <w:rPr>
                <w:sz w:val="22"/>
              </w:rPr>
            </w:pPr>
            <w:r w:rsidRPr="00217CA0">
              <w:rPr>
                <w:sz w:val="22"/>
              </w:rPr>
              <w:t>SP39</w:t>
            </w:r>
          </w:p>
        </w:tc>
        <w:tc>
          <w:tcPr>
            <w:tcW w:w="3402" w:type="dxa"/>
            <w:tcBorders>
              <w:left w:val="single" w:sz="4" w:space="0" w:color="auto"/>
              <w:bottom w:val="single" w:sz="4" w:space="0" w:color="auto"/>
            </w:tcBorders>
          </w:tcPr>
          <w:p w14:paraId="1BB4D7EF" w14:textId="77777777" w:rsidR="00011D29" w:rsidRPr="00217CA0" w:rsidRDefault="00011D29" w:rsidP="00A006A3">
            <w:pPr>
              <w:rPr>
                <w:sz w:val="22"/>
              </w:rPr>
            </w:pPr>
            <w:r w:rsidRPr="00217CA0">
              <w:rPr>
                <w:sz w:val="22"/>
              </w:rPr>
              <w:t>Net gain of a range of new and improved facilities.</w:t>
            </w:r>
          </w:p>
        </w:tc>
        <w:tc>
          <w:tcPr>
            <w:tcW w:w="538" w:type="dxa"/>
            <w:tcBorders>
              <w:bottom w:val="single" w:sz="4" w:space="0" w:color="auto"/>
            </w:tcBorders>
            <w:shd w:val="clear" w:color="auto" w:fill="008000"/>
          </w:tcPr>
          <w:p w14:paraId="03CCB09D" w14:textId="77777777" w:rsidR="00011D29" w:rsidRPr="00217CA0" w:rsidRDefault="00011D29" w:rsidP="00A006A3">
            <w:pPr>
              <w:jc w:val="center"/>
              <w:rPr>
                <w:sz w:val="20"/>
                <w:szCs w:val="20"/>
              </w:rPr>
            </w:pPr>
          </w:p>
        </w:tc>
      </w:tr>
      <w:tr w:rsidR="00011D29" w:rsidRPr="00217CA0" w14:paraId="05870AF7" w14:textId="77777777" w:rsidTr="00A006A3">
        <w:trPr>
          <w:trHeight w:val="594"/>
        </w:trPr>
        <w:tc>
          <w:tcPr>
            <w:tcW w:w="4536" w:type="dxa"/>
            <w:tcBorders>
              <w:bottom w:val="single" w:sz="4" w:space="0" w:color="auto"/>
            </w:tcBorders>
          </w:tcPr>
          <w:p w14:paraId="40160613" w14:textId="77777777" w:rsidR="00011D29" w:rsidRPr="00FD6D2D" w:rsidRDefault="00011D29" w:rsidP="00A006A3">
            <w:pPr>
              <w:rPr>
                <w:sz w:val="22"/>
              </w:rPr>
            </w:pPr>
            <w:r w:rsidRPr="00FD6D2D">
              <w:rPr>
                <w:sz w:val="22"/>
              </w:rPr>
              <w:t>Location and type of new housing permitted and completed</w:t>
            </w:r>
          </w:p>
        </w:tc>
        <w:tc>
          <w:tcPr>
            <w:tcW w:w="4565" w:type="dxa"/>
            <w:tcBorders>
              <w:bottom w:val="single" w:sz="4" w:space="0" w:color="auto"/>
            </w:tcBorders>
          </w:tcPr>
          <w:p w14:paraId="27F3DEF2" w14:textId="77777777" w:rsidR="00011D29" w:rsidRPr="00217CA0" w:rsidRDefault="00011D29" w:rsidP="00A006A3">
            <w:pPr>
              <w:ind w:right="-44"/>
              <w:rPr>
                <w:sz w:val="22"/>
              </w:rPr>
            </w:pPr>
            <w:r w:rsidRPr="00217CA0">
              <w:rPr>
                <w:sz w:val="22"/>
              </w:rPr>
              <w:t>To meet the Local Plan requirement of 800 dwellings between 2016 &amp; 2036</w:t>
            </w:r>
          </w:p>
        </w:tc>
        <w:tc>
          <w:tcPr>
            <w:tcW w:w="1701" w:type="dxa"/>
            <w:tcBorders>
              <w:bottom w:val="single" w:sz="4" w:space="0" w:color="auto"/>
              <w:right w:val="single" w:sz="4" w:space="0" w:color="auto"/>
            </w:tcBorders>
          </w:tcPr>
          <w:p w14:paraId="51BCADCC" w14:textId="77777777" w:rsidR="00011D29" w:rsidRPr="00217CA0" w:rsidRDefault="00011D29" w:rsidP="00A006A3">
            <w:pPr>
              <w:ind w:right="-108"/>
              <w:rPr>
                <w:sz w:val="22"/>
              </w:rPr>
            </w:pPr>
            <w:r w:rsidRPr="00217CA0">
              <w:rPr>
                <w:sz w:val="22"/>
              </w:rPr>
              <w:t>SP19</w:t>
            </w:r>
          </w:p>
        </w:tc>
        <w:tc>
          <w:tcPr>
            <w:tcW w:w="3402" w:type="dxa"/>
            <w:tcBorders>
              <w:left w:val="single" w:sz="4" w:space="0" w:color="auto"/>
              <w:bottom w:val="single" w:sz="4" w:space="0" w:color="auto"/>
            </w:tcBorders>
          </w:tcPr>
          <w:p w14:paraId="4E645AAD" w14:textId="32B6B428" w:rsidR="00011D29" w:rsidRPr="00217CA0" w:rsidRDefault="00D120FE" w:rsidP="00A006A3">
            <w:pPr>
              <w:rPr>
                <w:sz w:val="22"/>
              </w:rPr>
            </w:pPr>
            <w:r>
              <w:rPr>
                <w:sz w:val="22"/>
              </w:rPr>
              <w:t>59</w:t>
            </w:r>
            <w:r w:rsidR="00011D29" w:rsidRPr="00217CA0">
              <w:rPr>
                <w:sz w:val="22"/>
              </w:rPr>
              <w:t xml:space="preserve"> net dwellings completed</w:t>
            </w:r>
            <w:r w:rsidR="00011D29">
              <w:rPr>
                <w:sz w:val="22"/>
              </w:rPr>
              <w:t xml:space="preserve">, </w:t>
            </w:r>
            <w:r>
              <w:rPr>
                <w:sz w:val="22"/>
              </w:rPr>
              <w:t>30</w:t>
            </w:r>
            <w:r w:rsidR="00011D29">
              <w:rPr>
                <w:sz w:val="22"/>
              </w:rPr>
              <w:t>% in the four defined villages</w:t>
            </w:r>
            <w:r w:rsidR="00011D29" w:rsidRPr="00217CA0">
              <w:rPr>
                <w:sz w:val="22"/>
              </w:rPr>
              <w:t>.</w:t>
            </w:r>
          </w:p>
        </w:tc>
        <w:tc>
          <w:tcPr>
            <w:tcW w:w="538" w:type="dxa"/>
            <w:tcBorders>
              <w:bottom w:val="single" w:sz="4" w:space="0" w:color="auto"/>
            </w:tcBorders>
            <w:shd w:val="clear" w:color="auto" w:fill="008000"/>
          </w:tcPr>
          <w:p w14:paraId="7AF78A71" w14:textId="77777777" w:rsidR="00011D29" w:rsidRPr="00217CA0" w:rsidRDefault="00011D29" w:rsidP="00A006A3">
            <w:pPr>
              <w:jc w:val="center"/>
              <w:rPr>
                <w:sz w:val="20"/>
                <w:szCs w:val="20"/>
              </w:rPr>
            </w:pPr>
          </w:p>
        </w:tc>
      </w:tr>
      <w:tr w:rsidR="00011D29" w:rsidRPr="00217CA0" w14:paraId="1C64BD87" w14:textId="77777777" w:rsidTr="00D120FE">
        <w:trPr>
          <w:trHeight w:val="555"/>
        </w:trPr>
        <w:tc>
          <w:tcPr>
            <w:tcW w:w="4536" w:type="dxa"/>
            <w:tcBorders>
              <w:bottom w:val="single" w:sz="4" w:space="0" w:color="auto"/>
            </w:tcBorders>
          </w:tcPr>
          <w:p w14:paraId="28BC473A" w14:textId="77777777" w:rsidR="00011D29" w:rsidRPr="00FD6D2D" w:rsidRDefault="00011D29" w:rsidP="00A006A3">
            <w:pPr>
              <w:ind w:right="-108"/>
              <w:rPr>
                <w:sz w:val="22"/>
              </w:rPr>
            </w:pPr>
            <w:r w:rsidRPr="00FD6D2D">
              <w:rPr>
                <w:sz w:val="22"/>
              </w:rPr>
              <w:t>Location and type of affordable housing permitted and completed</w:t>
            </w:r>
          </w:p>
        </w:tc>
        <w:tc>
          <w:tcPr>
            <w:tcW w:w="4565" w:type="dxa"/>
            <w:tcBorders>
              <w:bottom w:val="single" w:sz="4" w:space="0" w:color="auto"/>
            </w:tcBorders>
          </w:tcPr>
          <w:p w14:paraId="5A0536F6" w14:textId="6AB8936B" w:rsidR="00011D29" w:rsidRPr="00217CA0" w:rsidRDefault="00011D29" w:rsidP="00A006A3">
            <w:pPr>
              <w:ind w:left="34" w:right="-108"/>
              <w:rPr>
                <w:sz w:val="22"/>
              </w:rPr>
            </w:pPr>
            <w:r w:rsidRPr="00217CA0">
              <w:rPr>
                <w:sz w:val="22"/>
              </w:rPr>
              <w:t>50% in defined villages; rural exception sites</w:t>
            </w:r>
            <w:r w:rsidR="003D5ABA">
              <w:rPr>
                <w:sz w:val="22"/>
              </w:rPr>
              <w:t xml:space="preserve"> (RES)</w:t>
            </w:r>
            <w:r w:rsidRPr="00217CA0">
              <w:rPr>
                <w:sz w:val="22"/>
              </w:rPr>
              <w:t xml:space="preserve"> elsewhere</w:t>
            </w:r>
          </w:p>
        </w:tc>
        <w:tc>
          <w:tcPr>
            <w:tcW w:w="1701" w:type="dxa"/>
            <w:tcBorders>
              <w:bottom w:val="single" w:sz="4" w:space="0" w:color="auto"/>
              <w:right w:val="single" w:sz="4" w:space="0" w:color="auto"/>
            </w:tcBorders>
          </w:tcPr>
          <w:p w14:paraId="151A72BB" w14:textId="77777777" w:rsidR="00011D29" w:rsidRPr="00217CA0" w:rsidRDefault="00011D29" w:rsidP="00A006A3">
            <w:pPr>
              <w:ind w:right="-108"/>
              <w:rPr>
                <w:sz w:val="22"/>
              </w:rPr>
            </w:pPr>
            <w:r w:rsidRPr="00217CA0">
              <w:rPr>
                <w:sz w:val="22"/>
              </w:rPr>
              <w:t>SP27</w:t>
            </w:r>
          </w:p>
        </w:tc>
        <w:tc>
          <w:tcPr>
            <w:tcW w:w="3402" w:type="dxa"/>
            <w:tcBorders>
              <w:left w:val="single" w:sz="4" w:space="0" w:color="auto"/>
              <w:bottom w:val="single" w:sz="4" w:space="0" w:color="auto"/>
            </w:tcBorders>
          </w:tcPr>
          <w:p w14:paraId="32B030F9" w14:textId="43180061" w:rsidR="00011D29" w:rsidRPr="00217CA0" w:rsidRDefault="00D120FE" w:rsidP="00A006A3">
            <w:pPr>
              <w:ind w:right="-106"/>
              <w:rPr>
                <w:sz w:val="22"/>
              </w:rPr>
            </w:pPr>
            <w:r>
              <w:rPr>
                <w:sz w:val="22"/>
              </w:rPr>
              <w:t>Two</w:t>
            </w:r>
            <w:r w:rsidR="00011D29" w:rsidRPr="00217CA0">
              <w:rPr>
                <w:sz w:val="22"/>
              </w:rPr>
              <w:t xml:space="preserve"> dwellings completed</w:t>
            </w:r>
            <w:r w:rsidR="00011D29">
              <w:rPr>
                <w:sz w:val="22"/>
              </w:rPr>
              <w:t xml:space="preserve">. </w:t>
            </w:r>
            <w:r>
              <w:rPr>
                <w:sz w:val="22"/>
              </w:rPr>
              <w:t>10</w:t>
            </w:r>
            <w:r w:rsidR="00011D29">
              <w:rPr>
                <w:sz w:val="22"/>
              </w:rPr>
              <w:t xml:space="preserve"> dwellings</w:t>
            </w:r>
            <w:r w:rsidR="00011D29" w:rsidRPr="00217CA0">
              <w:rPr>
                <w:sz w:val="22"/>
              </w:rPr>
              <w:t xml:space="preserve"> permitted</w:t>
            </w:r>
            <w:r w:rsidR="003D5ABA">
              <w:rPr>
                <w:sz w:val="22"/>
              </w:rPr>
              <w:t xml:space="preserve"> on RES</w:t>
            </w:r>
            <w:r w:rsidR="00011D29" w:rsidRPr="00217CA0">
              <w:rPr>
                <w:sz w:val="22"/>
              </w:rPr>
              <w:t xml:space="preserve">. </w:t>
            </w:r>
          </w:p>
        </w:tc>
        <w:tc>
          <w:tcPr>
            <w:tcW w:w="538" w:type="dxa"/>
            <w:tcBorders>
              <w:bottom w:val="single" w:sz="4" w:space="0" w:color="auto"/>
            </w:tcBorders>
            <w:shd w:val="clear" w:color="auto" w:fill="3A7C22" w:themeFill="accent6" w:themeFillShade="BF"/>
          </w:tcPr>
          <w:p w14:paraId="2C538D69" w14:textId="77777777" w:rsidR="00011D29" w:rsidRPr="00217CA0" w:rsidRDefault="00011D29" w:rsidP="00A006A3">
            <w:pPr>
              <w:jc w:val="center"/>
              <w:rPr>
                <w:sz w:val="20"/>
                <w:szCs w:val="20"/>
              </w:rPr>
            </w:pPr>
          </w:p>
        </w:tc>
      </w:tr>
      <w:tr w:rsidR="00011D29" w:rsidRPr="00217CA0" w14:paraId="2CE11ADE" w14:textId="77777777" w:rsidTr="00A006A3">
        <w:trPr>
          <w:trHeight w:val="511"/>
        </w:trPr>
        <w:tc>
          <w:tcPr>
            <w:tcW w:w="4536" w:type="dxa"/>
            <w:tcBorders>
              <w:bottom w:val="single" w:sz="4" w:space="0" w:color="auto"/>
            </w:tcBorders>
          </w:tcPr>
          <w:p w14:paraId="5FC7A95A" w14:textId="77777777" w:rsidR="00011D29" w:rsidRPr="00FD6D2D" w:rsidRDefault="00011D29" w:rsidP="00A006A3">
            <w:pPr>
              <w:ind w:right="-108"/>
              <w:rPr>
                <w:sz w:val="22"/>
              </w:rPr>
            </w:pPr>
            <w:r w:rsidRPr="00FD6D2D">
              <w:rPr>
                <w:sz w:val="22"/>
              </w:rPr>
              <w:t>Applications permitted for agricultural or forestry workers dwellings</w:t>
            </w:r>
          </w:p>
        </w:tc>
        <w:tc>
          <w:tcPr>
            <w:tcW w:w="4565" w:type="dxa"/>
            <w:tcBorders>
              <w:bottom w:val="single" w:sz="4" w:space="0" w:color="auto"/>
            </w:tcBorders>
          </w:tcPr>
          <w:p w14:paraId="09B8BC36" w14:textId="77777777" w:rsidR="00011D29" w:rsidRPr="00217CA0" w:rsidRDefault="00011D29" w:rsidP="00A006A3">
            <w:pPr>
              <w:pStyle w:val="ListParagraph"/>
              <w:numPr>
                <w:ilvl w:val="0"/>
                <w:numId w:val="14"/>
              </w:numPr>
              <w:suppressAutoHyphens/>
              <w:ind w:right="-44"/>
              <w:rPr>
                <w:sz w:val="22"/>
              </w:rPr>
            </w:pPr>
          </w:p>
        </w:tc>
        <w:tc>
          <w:tcPr>
            <w:tcW w:w="1701" w:type="dxa"/>
            <w:tcBorders>
              <w:bottom w:val="single" w:sz="4" w:space="0" w:color="auto"/>
              <w:right w:val="single" w:sz="4" w:space="0" w:color="auto"/>
            </w:tcBorders>
          </w:tcPr>
          <w:p w14:paraId="0F192748" w14:textId="77777777" w:rsidR="00011D29" w:rsidRPr="00217CA0" w:rsidRDefault="00011D29" w:rsidP="00A006A3">
            <w:pPr>
              <w:ind w:right="-108"/>
              <w:rPr>
                <w:sz w:val="22"/>
              </w:rPr>
            </w:pPr>
            <w:r w:rsidRPr="00217CA0">
              <w:rPr>
                <w:sz w:val="22"/>
              </w:rPr>
              <w:t>DP31</w:t>
            </w:r>
          </w:p>
        </w:tc>
        <w:tc>
          <w:tcPr>
            <w:tcW w:w="3402" w:type="dxa"/>
            <w:tcBorders>
              <w:left w:val="single" w:sz="4" w:space="0" w:color="auto"/>
              <w:bottom w:val="single" w:sz="4" w:space="0" w:color="auto"/>
            </w:tcBorders>
          </w:tcPr>
          <w:p w14:paraId="5304A975" w14:textId="0D8B210C" w:rsidR="00011D29" w:rsidRPr="00217CA0" w:rsidRDefault="00011D29" w:rsidP="00A006A3">
            <w:pPr>
              <w:ind w:right="10"/>
              <w:rPr>
                <w:sz w:val="22"/>
              </w:rPr>
            </w:pPr>
            <w:r w:rsidRPr="00217CA0">
              <w:rPr>
                <w:sz w:val="22"/>
              </w:rPr>
              <w:t xml:space="preserve">Permission granted for </w:t>
            </w:r>
            <w:r w:rsidR="003D5ABA">
              <w:rPr>
                <w:sz w:val="22"/>
              </w:rPr>
              <w:t>one</w:t>
            </w:r>
            <w:r>
              <w:rPr>
                <w:sz w:val="22"/>
              </w:rPr>
              <w:t xml:space="preserve"> </w:t>
            </w:r>
            <w:r w:rsidRPr="00217CA0">
              <w:rPr>
                <w:sz w:val="22"/>
              </w:rPr>
              <w:t xml:space="preserve">commoners dwelling. </w:t>
            </w:r>
          </w:p>
        </w:tc>
        <w:tc>
          <w:tcPr>
            <w:tcW w:w="538" w:type="dxa"/>
            <w:tcBorders>
              <w:bottom w:val="single" w:sz="4" w:space="0" w:color="auto"/>
            </w:tcBorders>
            <w:shd w:val="clear" w:color="auto" w:fill="008000"/>
          </w:tcPr>
          <w:p w14:paraId="74E5BF19" w14:textId="77777777" w:rsidR="00011D29" w:rsidRPr="00217CA0" w:rsidRDefault="00011D29" w:rsidP="00A006A3">
            <w:pPr>
              <w:jc w:val="center"/>
              <w:rPr>
                <w:sz w:val="20"/>
                <w:szCs w:val="20"/>
              </w:rPr>
            </w:pPr>
          </w:p>
        </w:tc>
      </w:tr>
      <w:tr w:rsidR="00011D29" w:rsidRPr="00217CA0" w14:paraId="5C916D95" w14:textId="77777777" w:rsidTr="004B5802">
        <w:trPr>
          <w:trHeight w:val="503"/>
        </w:trPr>
        <w:tc>
          <w:tcPr>
            <w:tcW w:w="4536" w:type="dxa"/>
            <w:tcBorders>
              <w:bottom w:val="single" w:sz="4" w:space="0" w:color="auto"/>
            </w:tcBorders>
          </w:tcPr>
          <w:p w14:paraId="52D088FE" w14:textId="77777777" w:rsidR="00011D29" w:rsidRPr="00217CA0" w:rsidRDefault="00011D29" w:rsidP="00A006A3">
            <w:pPr>
              <w:ind w:right="-108"/>
              <w:rPr>
                <w:sz w:val="22"/>
              </w:rPr>
            </w:pPr>
            <w:r w:rsidRPr="00FD6D2D">
              <w:rPr>
                <w:sz w:val="22"/>
              </w:rPr>
              <w:t>Net</w:t>
            </w:r>
            <w:r w:rsidRPr="00217CA0">
              <w:rPr>
                <w:sz w:val="22"/>
              </w:rPr>
              <w:t xml:space="preserve"> additional pitches permitted for gypsies, travellers and travelling </w:t>
            </w:r>
            <w:proofErr w:type="spellStart"/>
            <w:r w:rsidRPr="00217CA0">
              <w:rPr>
                <w:sz w:val="22"/>
              </w:rPr>
              <w:t>showpeople</w:t>
            </w:r>
            <w:proofErr w:type="spellEnd"/>
          </w:p>
        </w:tc>
        <w:tc>
          <w:tcPr>
            <w:tcW w:w="4565" w:type="dxa"/>
            <w:tcBorders>
              <w:bottom w:val="single" w:sz="4" w:space="0" w:color="auto"/>
            </w:tcBorders>
          </w:tcPr>
          <w:p w14:paraId="25246A04" w14:textId="77777777" w:rsidR="00011D29" w:rsidRPr="00217CA0" w:rsidRDefault="00011D29" w:rsidP="00A006A3">
            <w:pPr>
              <w:ind w:right="-108"/>
              <w:rPr>
                <w:sz w:val="22"/>
              </w:rPr>
            </w:pPr>
            <w:r w:rsidRPr="00217CA0">
              <w:rPr>
                <w:sz w:val="22"/>
              </w:rPr>
              <w:t xml:space="preserve"> -</w:t>
            </w:r>
          </w:p>
        </w:tc>
        <w:tc>
          <w:tcPr>
            <w:tcW w:w="1701" w:type="dxa"/>
            <w:tcBorders>
              <w:bottom w:val="single" w:sz="4" w:space="0" w:color="auto"/>
              <w:right w:val="single" w:sz="4" w:space="0" w:color="auto"/>
            </w:tcBorders>
          </w:tcPr>
          <w:p w14:paraId="0103EAF5" w14:textId="77777777" w:rsidR="00011D29" w:rsidRPr="00217CA0" w:rsidRDefault="00011D29" w:rsidP="00A006A3">
            <w:pPr>
              <w:ind w:right="-108"/>
              <w:rPr>
                <w:sz w:val="22"/>
              </w:rPr>
            </w:pPr>
            <w:r w:rsidRPr="00217CA0">
              <w:rPr>
                <w:sz w:val="22"/>
              </w:rPr>
              <w:t>SP33</w:t>
            </w:r>
          </w:p>
        </w:tc>
        <w:tc>
          <w:tcPr>
            <w:tcW w:w="3402" w:type="dxa"/>
            <w:tcBorders>
              <w:left w:val="single" w:sz="4" w:space="0" w:color="auto"/>
              <w:bottom w:val="single" w:sz="4" w:space="0" w:color="auto"/>
            </w:tcBorders>
          </w:tcPr>
          <w:p w14:paraId="0E5961C5" w14:textId="5BB4011B" w:rsidR="00011D29" w:rsidRPr="00217CA0" w:rsidRDefault="004B5802" w:rsidP="00A006A3">
            <w:pPr>
              <w:rPr>
                <w:sz w:val="22"/>
              </w:rPr>
            </w:pPr>
            <w:r>
              <w:rPr>
                <w:sz w:val="22"/>
              </w:rPr>
              <w:t>Two</w:t>
            </w:r>
            <w:r w:rsidR="00011D29" w:rsidRPr="00217CA0">
              <w:rPr>
                <w:sz w:val="22"/>
              </w:rPr>
              <w:t xml:space="preserve"> pitches permitted. </w:t>
            </w:r>
          </w:p>
        </w:tc>
        <w:tc>
          <w:tcPr>
            <w:tcW w:w="538" w:type="dxa"/>
            <w:tcBorders>
              <w:bottom w:val="single" w:sz="4" w:space="0" w:color="auto"/>
            </w:tcBorders>
            <w:shd w:val="clear" w:color="auto" w:fill="3A7C22" w:themeFill="accent6" w:themeFillShade="BF"/>
          </w:tcPr>
          <w:p w14:paraId="16086EDA" w14:textId="77777777" w:rsidR="00011D29" w:rsidRPr="00217CA0" w:rsidRDefault="00011D29" w:rsidP="00A006A3">
            <w:pPr>
              <w:jc w:val="center"/>
              <w:rPr>
                <w:sz w:val="20"/>
                <w:szCs w:val="20"/>
              </w:rPr>
            </w:pPr>
          </w:p>
        </w:tc>
      </w:tr>
    </w:tbl>
    <w:p w14:paraId="5225E128" w14:textId="77777777" w:rsidR="00011D29" w:rsidRPr="00217CA0" w:rsidRDefault="00011D29" w:rsidP="00011D29">
      <w:pPr>
        <w:rPr>
          <w:b/>
          <w:sz w:val="28"/>
          <w:szCs w:val="28"/>
        </w:rPr>
      </w:pPr>
    </w:p>
    <w:p w14:paraId="123B8C9B" w14:textId="77777777" w:rsidR="00011D29" w:rsidRPr="00217CA0" w:rsidRDefault="00011D29" w:rsidP="00011D29">
      <w:pPr>
        <w:rPr>
          <w:b/>
          <w:sz w:val="6"/>
          <w:szCs w:val="28"/>
        </w:rPr>
      </w:pPr>
    </w:p>
    <w:p w14:paraId="118DDE51" w14:textId="77777777" w:rsidR="00011D29" w:rsidRPr="00217CA0" w:rsidRDefault="00011D29" w:rsidP="00011D29">
      <w:pPr>
        <w:shd w:val="clear" w:color="auto" w:fill="D9D9D9" w:themeFill="background1" w:themeFillShade="D9"/>
        <w:ind w:left="-567" w:right="-217"/>
        <w:rPr>
          <w:b/>
        </w:rPr>
      </w:pPr>
      <w:r w:rsidRPr="00217CA0">
        <w:rPr>
          <w:b/>
        </w:rPr>
        <w:t>A Sustainable Local Economy</w:t>
      </w:r>
    </w:p>
    <w:p w14:paraId="0A969242" w14:textId="77777777" w:rsidR="00011D29" w:rsidRPr="00217CA0" w:rsidRDefault="00011D29" w:rsidP="00011D29">
      <w:pPr>
        <w:rPr>
          <w:b/>
          <w:sz w:val="20"/>
          <w:szCs w:val="20"/>
        </w:rPr>
      </w:pPr>
    </w:p>
    <w:tbl>
      <w:tblPr>
        <w:tblStyle w:val="TableGrid"/>
        <w:tblW w:w="14742" w:type="dxa"/>
        <w:tblInd w:w="-459" w:type="dxa"/>
        <w:tblLayout w:type="fixed"/>
        <w:tblLook w:val="04A0" w:firstRow="1" w:lastRow="0" w:firstColumn="1" w:lastColumn="0" w:noHBand="0" w:noVBand="1"/>
      </w:tblPr>
      <w:tblGrid>
        <w:gridCol w:w="5557"/>
        <w:gridCol w:w="3261"/>
        <w:gridCol w:w="2268"/>
        <w:gridCol w:w="3118"/>
        <w:gridCol w:w="538"/>
      </w:tblGrid>
      <w:tr w:rsidR="00011D29" w:rsidRPr="00217CA0" w14:paraId="781DD6E5" w14:textId="77777777" w:rsidTr="00A006A3">
        <w:tc>
          <w:tcPr>
            <w:tcW w:w="5557" w:type="dxa"/>
            <w:shd w:val="clear" w:color="auto" w:fill="F2F2F2" w:themeFill="background1" w:themeFillShade="F2"/>
          </w:tcPr>
          <w:p w14:paraId="4D75B6BB" w14:textId="77777777" w:rsidR="00011D29" w:rsidRPr="00217CA0" w:rsidRDefault="00011D29" w:rsidP="00A006A3">
            <w:pPr>
              <w:ind w:right="-108"/>
              <w:rPr>
                <w:b/>
                <w:sz w:val="22"/>
              </w:rPr>
            </w:pPr>
            <w:r w:rsidRPr="00217CA0">
              <w:rPr>
                <w:b/>
                <w:sz w:val="22"/>
              </w:rPr>
              <w:t>Indicator</w:t>
            </w:r>
          </w:p>
        </w:tc>
        <w:tc>
          <w:tcPr>
            <w:tcW w:w="3261" w:type="dxa"/>
            <w:shd w:val="clear" w:color="auto" w:fill="F2F2F2" w:themeFill="background1" w:themeFillShade="F2"/>
          </w:tcPr>
          <w:p w14:paraId="37F00C16" w14:textId="77777777" w:rsidR="00011D29" w:rsidRPr="00217CA0" w:rsidRDefault="00011D29" w:rsidP="00A006A3">
            <w:pPr>
              <w:rPr>
                <w:b/>
                <w:sz w:val="22"/>
              </w:rPr>
            </w:pPr>
            <w:r w:rsidRPr="00217CA0">
              <w:rPr>
                <w:b/>
                <w:sz w:val="22"/>
              </w:rPr>
              <w:t>Target</w:t>
            </w:r>
          </w:p>
        </w:tc>
        <w:tc>
          <w:tcPr>
            <w:tcW w:w="2268" w:type="dxa"/>
            <w:tcBorders>
              <w:right w:val="single" w:sz="4" w:space="0" w:color="auto"/>
            </w:tcBorders>
            <w:shd w:val="clear" w:color="auto" w:fill="F2F2F2" w:themeFill="background1" w:themeFillShade="F2"/>
          </w:tcPr>
          <w:p w14:paraId="0F0C6DE7" w14:textId="77777777" w:rsidR="00011D29" w:rsidRPr="00217CA0" w:rsidRDefault="00011D29" w:rsidP="00A006A3">
            <w:pPr>
              <w:ind w:right="-108"/>
              <w:rPr>
                <w:b/>
                <w:sz w:val="22"/>
              </w:rPr>
            </w:pPr>
            <w:r w:rsidRPr="00217CA0">
              <w:rPr>
                <w:b/>
                <w:sz w:val="22"/>
              </w:rPr>
              <w:t>Local Plan policies</w:t>
            </w:r>
          </w:p>
        </w:tc>
        <w:tc>
          <w:tcPr>
            <w:tcW w:w="3118" w:type="dxa"/>
            <w:tcBorders>
              <w:left w:val="single" w:sz="4" w:space="0" w:color="auto"/>
            </w:tcBorders>
            <w:shd w:val="clear" w:color="auto" w:fill="F2F2F2" w:themeFill="background1" w:themeFillShade="F2"/>
          </w:tcPr>
          <w:p w14:paraId="6AE0FC73" w14:textId="77777777" w:rsidR="00011D29" w:rsidRPr="00217CA0" w:rsidRDefault="00011D29" w:rsidP="00A006A3">
            <w:pPr>
              <w:rPr>
                <w:b/>
                <w:sz w:val="22"/>
              </w:rPr>
            </w:pPr>
            <w:r w:rsidRPr="00217CA0">
              <w:rPr>
                <w:b/>
                <w:sz w:val="22"/>
              </w:rPr>
              <w:t>Outcome</w:t>
            </w:r>
          </w:p>
        </w:tc>
        <w:tc>
          <w:tcPr>
            <w:tcW w:w="538" w:type="dxa"/>
            <w:shd w:val="clear" w:color="auto" w:fill="F2F2F2" w:themeFill="background1" w:themeFillShade="F2"/>
          </w:tcPr>
          <w:p w14:paraId="5441B732" w14:textId="77777777" w:rsidR="00011D29" w:rsidRPr="00217CA0" w:rsidRDefault="00011D29" w:rsidP="00A006A3">
            <w:pPr>
              <w:rPr>
                <w:b/>
                <w:sz w:val="22"/>
              </w:rPr>
            </w:pPr>
          </w:p>
        </w:tc>
      </w:tr>
      <w:tr w:rsidR="00011D29" w:rsidRPr="00217CA0" w14:paraId="1E9DA26A" w14:textId="77777777" w:rsidTr="00B578B9">
        <w:trPr>
          <w:trHeight w:val="551"/>
        </w:trPr>
        <w:tc>
          <w:tcPr>
            <w:tcW w:w="5557" w:type="dxa"/>
            <w:tcBorders>
              <w:bottom w:val="single" w:sz="4" w:space="0" w:color="auto"/>
            </w:tcBorders>
          </w:tcPr>
          <w:p w14:paraId="2BCA1850" w14:textId="77777777" w:rsidR="00011D29" w:rsidRPr="00FD6D2D" w:rsidRDefault="00011D29" w:rsidP="00A006A3">
            <w:pPr>
              <w:rPr>
                <w:sz w:val="22"/>
              </w:rPr>
            </w:pPr>
            <w:r w:rsidRPr="00FD6D2D">
              <w:rPr>
                <w:sz w:val="22"/>
              </w:rPr>
              <w:t xml:space="preserve">Total amount of additional employment floorspace completions – by type </w:t>
            </w:r>
          </w:p>
        </w:tc>
        <w:tc>
          <w:tcPr>
            <w:tcW w:w="3261" w:type="dxa"/>
            <w:tcBorders>
              <w:bottom w:val="single" w:sz="4" w:space="0" w:color="auto"/>
            </w:tcBorders>
          </w:tcPr>
          <w:p w14:paraId="03137821" w14:textId="77777777" w:rsidR="00011D29" w:rsidRPr="00217CA0" w:rsidRDefault="00011D29" w:rsidP="00A006A3">
            <w:pPr>
              <w:ind w:right="-108"/>
              <w:rPr>
                <w:sz w:val="22"/>
              </w:rPr>
            </w:pPr>
            <w:r w:rsidRPr="00217CA0">
              <w:rPr>
                <w:sz w:val="22"/>
              </w:rPr>
              <w:t>No significant net loss</w:t>
            </w:r>
          </w:p>
        </w:tc>
        <w:tc>
          <w:tcPr>
            <w:tcW w:w="2268" w:type="dxa"/>
            <w:tcBorders>
              <w:bottom w:val="single" w:sz="4" w:space="0" w:color="auto"/>
              <w:right w:val="single" w:sz="4" w:space="0" w:color="auto"/>
            </w:tcBorders>
          </w:tcPr>
          <w:p w14:paraId="1CF42CE8" w14:textId="77777777" w:rsidR="00011D29" w:rsidRPr="00217CA0" w:rsidRDefault="00011D29" w:rsidP="00A006A3">
            <w:pPr>
              <w:rPr>
                <w:sz w:val="21"/>
                <w:szCs w:val="21"/>
              </w:rPr>
            </w:pPr>
            <w:r w:rsidRPr="00217CA0">
              <w:rPr>
                <w:sz w:val="21"/>
                <w:szCs w:val="21"/>
              </w:rPr>
              <w:t>SP42</w:t>
            </w:r>
          </w:p>
        </w:tc>
        <w:tc>
          <w:tcPr>
            <w:tcW w:w="3118" w:type="dxa"/>
            <w:tcBorders>
              <w:left w:val="single" w:sz="4" w:space="0" w:color="auto"/>
              <w:bottom w:val="single" w:sz="4" w:space="0" w:color="auto"/>
            </w:tcBorders>
          </w:tcPr>
          <w:p w14:paraId="5E6B8C7C" w14:textId="2A85EFA6" w:rsidR="00011D29" w:rsidRPr="00217CA0" w:rsidRDefault="00011D29" w:rsidP="00A006A3">
            <w:pPr>
              <w:rPr>
                <w:sz w:val="21"/>
                <w:szCs w:val="21"/>
              </w:rPr>
            </w:pPr>
            <w:r w:rsidRPr="00217CA0">
              <w:rPr>
                <w:sz w:val="21"/>
                <w:szCs w:val="21"/>
              </w:rPr>
              <w:t>Net gain of</w:t>
            </w:r>
            <w:r w:rsidR="004B5802">
              <w:rPr>
                <w:sz w:val="21"/>
                <w:szCs w:val="21"/>
              </w:rPr>
              <w:t xml:space="preserve"> 349</w:t>
            </w:r>
            <w:r w:rsidR="00C547D7">
              <w:rPr>
                <w:sz w:val="21"/>
                <w:szCs w:val="21"/>
              </w:rPr>
              <w:t xml:space="preserve"> </w:t>
            </w:r>
            <w:r w:rsidR="004B5802">
              <w:rPr>
                <w:sz w:val="21"/>
                <w:szCs w:val="21"/>
              </w:rPr>
              <w:t>m</w:t>
            </w:r>
            <w:r w:rsidR="004B5802" w:rsidRPr="004B5802">
              <w:rPr>
                <w:sz w:val="21"/>
                <w:szCs w:val="21"/>
                <w:vertAlign w:val="superscript"/>
              </w:rPr>
              <w:t>2</w:t>
            </w:r>
            <w:r w:rsidR="004B5802">
              <w:rPr>
                <w:sz w:val="21"/>
                <w:szCs w:val="21"/>
              </w:rPr>
              <w:t xml:space="preserve"> </w:t>
            </w:r>
            <w:r w:rsidRPr="00217CA0">
              <w:rPr>
                <w:sz w:val="21"/>
                <w:szCs w:val="21"/>
              </w:rPr>
              <w:t>floorspace.</w:t>
            </w:r>
          </w:p>
        </w:tc>
        <w:tc>
          <w:tcPr>
            <w:tcW w:w="538" w:type="dxa"/>
            <w:tcBorders>
              <w:bottom w:val="single" w:sz="4" w:space="0" w:color="auto"/>
            </w:tcBorders>
            <w:shd w:val="clear" w:color="auto" w:fill="3A7C22" w:themeFill="accent6" w:themeFillShade="BF"/>
          </w:tcPr>
          <w:p w14:paraId="5EF95779" w14:textId="77777777" w:rsidR="00011D29" w:rsidRPr="00217CA0" w:rsidRDefault="00011D29" w:rsidP="00A006A3">
            <w:pPr>
              <w:rPr>
                <w:sz w:val="20"/>
                <w:szCs w:val="20"/>
              </w:rPr>
            </w:pPr>
          </w:p>
        </w:tc>
      </w:tr>
      <w:tr w:rsidR="00011D29" w:rsidRPr="00217CA0" w14:paraId="0630836E" w14:textId="77777777" w:rsidTr="00066021">
        <w:trPr>
          <w:trHeight w:val="317"/>
        </w:trPr>
        <w:tc>
          <w:tcPr>
            <w:tcW w:w="5557" w:type="dxa"/>
            <w:tcBorders>
              <w:bottom w:val="single" w:sz="4" w:space="0" w:color="auto"/>
            </w:tcBorders>
          </w:tcPr>
          <w:p w14:paraId="206C6DBD" w14:textId="77777777" w:rsidR="00011D29" w:rsidRPr="00FD6D2D" w:rsidRDefault="00011D29" w:rsidP="00A006A3">
            <w:pPr>
              <w:ind w:right="-108"/>
              <w:rPr>
                <w:sz w:val="22"/>
              </w:rPr>
            </w:pPr>
            <w:r w:rsidRPr="00FD6D2D">
              <w:rPr>
                <w:sz w:val="22"/>
              </w:rPr>
              <w:t>Total amount of employment floorspace on previously developed land – by type</w:t>
            </w:r>
          </w:p>
        </w:tc>
        <w:tc>
          <w:tcPr>
            <w:tcW w:w="3261" w:type="dxa"/>
            <w:tcBorders>
              <w:bottom w:val="single" w:sz="4" w:space="0" w:color="auto"/>
            </w:tcBorders>
          </w:tcPr>
          <w:p w14:paraId="7ABAAC18" w14:textId="77777777" w:rsidR="00011D29" w:rsidRPr="00217CA0" w:rsidRDefault="00011D29" w:rsidP="00A006A3">
            <w:pPr>
              <w:ind w:right="-108"/>
              <w:rPr>
                <w:sz w:val="22"/>
              </w:rPr>
            </w:pPr>
          </w:p>
        </w:tc>
        <w:tc>
          <w:tcPr>
            <w:tcW w:w="2268" w:type="dxa"/>
            <w:tcBorders>
              <w:bottom w:val="single" w:sz="4" w:space="0" w:color="auto"/>
              <w:right w:val="single" w:sz="4" w:space="0" w:color="auto"/>
            </w:tcBorders>
          </w:tcPr>
          <w:p w14:paraId="66691D03" w14:textId="77777777" w:rsidR="00011D29" w:rsidRPr="00217CA0" w:rsidRDefault="00011D29" w:rsidP="00A006A3">
            <w:pPr>
              <w:ind w:right="-108"/>
              <w:rPr>
                <w:sz w:val="21"/>
                <w:szCs w:val="21"/>
              </w:rPr>
            </w:pPr>
            <w:r w:rsidRPr="00217CA0">
              <w:rPr>
                <w:sz w:val="21"/>
                <w:szCs w:val="21"/>
              </w:rPr>
              <w:t>SP42</w:t>
            </w:r>
          </w:p>
        </w:tc>
        <w:tc>
          <w:tcPr>
            <w:tcW w:w="3118" w:type="dxa"/>
            <w:tcBorders>
              <w:left w:val="single" w:sz="4" w:space="0" w:color="auto"/>
              <w:bottom w:val="single" w:sz="4" w:space="0" w:color="auto"/>
            </w:tcBorders>
          </w:tcPr>
          <w:p w14:paraId="698AE583" w14:textId="2F8D3BC3" w:rsidR="00011D29" w:rsidRPr="00217CA0" w:rsidRDefault="00011D29" w:rsidP="00A006A3">
            <w:pPr>
              <w:rPr>
                <w:sz w:val="22"/>
              </w:rPr>
            </w:pPr>
            <w:r>
              <w:rPr>
                <w:sz w:val="21"/>
                <w:szCs w:val="21"/>
              </w:rPr>
              <w:t>Net gain</w:t>
            </w:r>
            <w:r w:rsidRPr="00217CA0">
              <w:rPr>
                <w:sz w:val="21"/>
                <w:szCs w:val="21"/>
              </w:rPr>
              <w:t xml:space="preserve"> of </w:t>
            </w:r>
            <w:r w:rsidR="00066021">
              <w:rPr>
                <w:sz w:val="21"/>
                <w:szCs w:val="21"/>
              </w:rPr>
              <w:t>349 m</w:t>
            </w:r>
            <w:r w:rsidR="00066021" w:rsidRPr="004B5802">
              <w:rPr>
                <w:sz w:val="21"/>
                <w:szCs w:val="21"/>
                <w:vertAlign w:val="superscript"/>
              </w:rPr>
              <w:t>2</w:t>
            </w:r>
            <w:r w:rsidR="00066021">
              <w:rPr>
                <w:sz w:val="21"/>
                <w:szCs w:val="21"/>
              </w:rPr>
              <w:t xml:space="preserve"> </w:t>
            </w:r>
            <w:r w:rsidRPr="00217CA0">
              <w:rPr>
                <w:sz w:val="21"/>
                <w:szCs w:val="21"/>
              </w:rPr>
              <w:t>floorspace.</w:t>
            </w:r>
          </w:p>
        </w:tc>
        <w:tc>
          <w:tcPr>
            <w:tcW w:w="538" w:type="dxa"/>
            <w:tcBorders>
              <w:bottom w:val="single" w:sz="4" w:space="0" w:color="auto"/>
            </w:tcBorders>
            <w:shd w:val="clear" w:color="auto" w:fill="3A7C22" w:themeFill="accent6" w:themeFillShade="BF"/>
          </w:tcPr>
          <w:p w14:paraId="1093C23C" w14:textId="77777777" w:rsidR="00011D29" w:rsidRPr="00217CA0" w:rsidRDefault="00011D29" w:rsidP="00A006A3">
            <w:pPr>
              <w:jc w:val="center"/>
              <w:rPr>
                <w:sz w:val="20"/>
                <w:szCs w:val="20"/>
              </w:rPr>
            </w:pPr>
          </w:p>
          <w:p w14:paraId="0F8F4401" w14:textId="77777777" w:rsidR="00011D29" w:rsidRPr="00217CA0" w:rsidRDefault="00011D29" w:rsidP="00A006A3">
            <w:pPr>
              <w:rPr>
                <w:sz w:val="20"/>
                <w:szCs w:val="20"/>
              </w:rPr>
            </w:pPr>
          </w:p>
        </w:tc>
      </w:tr>
      <w:tr w:rsidR="00011D29" w:rsidRPr="00217CA0" w14:paraId="6A3E3CD8" w14:textId="77777777" w:rsidTr="00A006A3">
        <w:trPr>
          <w:trHeight w:val="420"/>
        </w:trPr>
        <w:tc>
          <w:tcPr>
            <w:tcW w:w="5557" w:type="dxa"/>
            <w:tcBorders>
              <w:bottom w:val="single" w:sz="4" w:space="0" w:color="auto"/>
            </w:tcBorders>
          </w:tcPr>
          <w:p w14:paraId="0E2EB4C2" w14:textId="77777777" w:rsidR="00011D29" w:rsidRPr="00FD6D2D" w:rsidRDefault="00011D29" w:rsidP="00A006A3">
            <w:pPr>
              <w:ind w:right="-108"/>
              <w:rPr>
                <w:sz w:val="22"/>
              </w:rPr>
            </w:pPr>
            <w:r w:rsidRPr="00FD6D2D">
              <w:rPr>
                <w:sz w:val="22"/>
              </w:rPr>
              <w:t>Employment land available – by type</w:t>
            </w:r>
          </w:p>
        </w:tc>
        <w:tc>
          <w:tcPr>
            <w:tcW w:w="3261" w:type="dxa"/>
            <w:tcBorders>
              <w:bottom w:val="single" w:sz="4" w:space="0" w:color="auto"/>
            </w:tcBorders>
          </w:tcPr>
          <w:p w14:paraId="30D926E2" w14:textId="77777777" w:rsidR="00011D29" w:rsidRPr="00217CA0" w:rsidRDefault="00011D29" w:rsidP="00A006A3">
            <w:pPr>
              <w:ind w:right="-108"/>
              <w:rPr>
                <w:sz w:val="22"/>
              </w:rPr>
            </w:pPr>
          </w:p>
        </w:tc>
        <w:tc>
          <w:tcPr>
            <w:tcW w:w="2268" w:type="dxa"/>
            <w:tcBorders>
              <w:bottom w:val="single" w:sz="4" w:space="0" w:color="auto"/>
              <w:right w:val="single" w:sz="4" w:space="0" w:color="auto"/>
            </w:tcBorders>
          </w:tcPr>
          <w:p w14:paraId="15B56C9E" w14:textId="77777777" w:rsidR="00011D29" w:rsidRPr="00217CA0" w:rsidRDefault="00011D29" w:rsidP="00A006A3">
            <w:pPr>
              <w:ind w:right="-103"/>
              <w:rPr>
                <w:sz w:val="21"/>
                <w:szCs w:val="21"/>
              </w:rPr>
            </w:pPr>
            <w:r w:rsidRPr="00217CA0">
              <w:rPr>
                <w:sz w:val="21"/>
                <w:szCs w:val="21"/>
              </w:rPr>
              <w:t>SP42 - 43, DP44 - 45</w:t>
            </w:r>
          </w:p>
        </w:tc>
        <w:tc>
          <w:tcPr>
            <w:tcW w:w="3118" w:type="dxa"/>
            <w:tcBorders>
              <w:left w:val="single" w:sz="4" w:space="0" w:color="auto"/>
              <w:bottom w:val="single" w:sz="4" w:space="0" w:color="auto"/>
            </w:tcBorders>
          </w:tcPr>
          <w:p w14:paraId="6C14ABEF" w14:textId="546E6783" w:rsidR="00011D29" w:rsidRPr="00217CA0" w:rsidRDefault="00011D29" w:rsidP="00A006A3">
            <w:pPr>
              <w:rPr>
                <w:sz w:val="21"/>
                <w:szCs w:val="21"/>
              </w:rPr>
            </w:pPr>
            <w:r w:rsidRPr="00217CA0">
              <w:rPr>
                <w:sz w:val="21"/>
                <w:szCs w:val="21"/>
              </w:rPr>
              <w:t>3</w:t>
            </w:r>
            <w:r w:rsidR="00801F41">
              <w:rPr>
                <w:sz w:val="21"/>
                <w:szCs w:val="21"/>
              </w:rPr>
              <w:t>,0</w:t>
            </w:r>
            <w:r w:rsidRPr="00217CA0">
              <w:rPr>
                <w:sz w:val="21"/>
                <w:szCs w:val="21"/>
              </w:rPr>
              <w:t>5</w:t>
            </w:r>
            <w:r w:rsidR="00C547D7">
              <w:rPr>
                <w:sz w:val="21"/>
                <w:szCs w:val="21"/>
              </w:rPr>
              <w:t>4</w:t>
            </w:r>
            <w:r w:rsidRPr="00217CA0">
              <w:rPr>
                <w:sz w:val="21"/>
                <w:szCs w:val="21"/>
              </w:rPr>
              <w:t xml:space="preserve"> m</w:t>
            </w:r>
            <w:r w:rsidRPr="00217CA0">
              <w:rPr>
                <w:sz w:val="21"/>
                <w:szCs w:val="21"/>
                <w:vertAlign w:val="superscript"/>
              </w:rPr>
              <w:t>2</w:t>
            </w:r>
            <w:r w:rsidRPr="00217CA0">
              <w:rPr>
                <w:sz w:val="21"/>
                <w:szCs w:val="21"/>
              </w:rPr>
              <w:t xml:space="preserve"> floorspace.</w:t>
            </w:r>
          </w:p>
        </w:tc>
        <w:tc>
          <w:tcPr>
            <w:tcW w:w="538" w:type="dxa"/>
            <w:tcBorders>
              <w:bottom w:val="single" w:sz="4" w:space="0" w:color="auto"/>
            </w:tcBorders>
            <w:shd w:val="clear" w:color="auto" w:fill="008000"/>
          </w:tcPr>
          <w:p w14:paraId="7014D50D" w14:textId="77777777" w:rsidR="00011D29" w:rsidRPr="00217CA0" w:rsidRDefault="00011D29" w:rsidP="00A006A3">
            <w:pPr>
              <w:jc w:val="center"/>
              <w:rPr>
                <w:sz w:val="20"/>
                <w:szCs w:val="20"/>
              </w:rPr>
            </w:pPr>
          </w:p>
        </w:tc>
      </w:tr>
      <w:tr w:rsidR="00011D29" w:rsidRPr="00217CA0" w14:paraId="60427E21" w14:textId="77777777" w:rsidTr="00A006A3">
        <w:trPr>
          <w:trHeight w:val="311"/>
        </w:trPr>
        <w:tc>
          <w:tcPr>
            <w:tcW w:w="5557" w:type="dxa"/>
            <w:tcBorders>
              <w:bottom w:val="single" w:sz="4" w:space="0" w:color="auto"/>
            </w:tcBorders>
          </w:tcPr>
          <w:p w14:paraId="70B124AD" w14:textId="77777777" w:rsidR="00011D29" w:rsidRPr="00FD6D2D" w:rsidRDefault="00011D29" w:rsidP="00A006A3">
            <w:pPr>
              <w:rPr>
                <w:sz w:val="22"/>
              </w:rPr>
            </w:pPr>
            <w:r w:rsidRPr="00FD6D2D">
              <w:rPr>
                <w:sz w:val="22"/>
              </w:rPr>
              <w:t xml:space="preserve">Existing employment sites lost to other uses due to the implementation of permitted development rights </w:t>
            </w:r>
          </w:p>
        </w:tc>
        <w:tc>
          <w:tcPr>
            <w:tcW w:w="3261" w:type="dxa"/>
            <w:tcBorders>
              <w:bottom w:val="single" w:sz="4" w:space="0" w:color="auto"/>
            </w:tcBorders>
          </w:tcPr>
          <w:p w14:paraId="56D8E480" w14:textId="77777777" w:rsidR="00011D29" w:rsidRPr="00217CA0" w:rsidRDefault="00011D29" w:rsidP="00A006A3">
            <w:pPr>
              <w:ind w:right="-44"/>
              <w:rPr>
                <w:sz w:val="22"/>
              </w:rPr>
            </w:pPr>
            <w:r w:rsidRPr="00217CA0">
              <w:rPr>
                <w:sz w:val="22"/>
              </w:rPr>
              <w:t>No target</w:t>
            </w:r>
          </w:p>
        </w:tc>
        <w:tc>
          <w:tcPr>
            <w:tcW w:w="2268" w:type="dxa"/>
            <w:tcBorders>
              <w:bottom w:val="single" w:sz="4" w:space="0" w:color="auto"/>
              <w:right w:val="single" w:sz="4" w:space="0" w:color="auto"/>
            </w:tcBorders>
          </w:tcPr>
          <w:p w14:paraId="59C2F2D1" w14:textId="77777777" w:rsidR="00011D29" w:rsidRPr="00217CA0" w:rsidRDefault="00011D29" w:rsidP="00A006A3">
            <w:pPr>
              <w:rPr>
                <w:sz w:val="21"/>
                <w:szCs w:val="21"/>
              </w:rPr>
            </w:pPr>
            <w:r w:rsidRPr="00217CA0">
              <w:rPr>
                <w:sz w:val="21"/>
                <w:szCs w:val="21"/>
              </w:rPr>
              <w:t>SP42</w:t>
            </w:r>
          </w:p>
        </w:tc>
        <w:tc>
          <w:tcPr>
            <w:tcW w:w="3118" w:type="dxa"/>
            <w:tcBorders>
              <w:left w:val="single" w:sz="4" w:space="0" w:color="auto"/>
              <w:bottom w:val="single" w:sz="4" w:space="0" w:color="auto"/>
            </w:tcBorders>
          </w:tcPr>
          <w:p w14:paraId="26EA207B" w14:textId="3B632AE4" w:rsidR="00011D29" w:rsidRPr="00217CA0" w:rsidRDefault="00C547D7" w:rsidP="00A006A3">
            <w:pPr>
              <w:rPr>
                <w:sz w:val="22"/>
              </w:rPr>
            </w:pPr>
            <w:r>
              <w:rPr>
                <w:sz w:val="22"/>
              </w:rPr>
              <w:t>No</w:t>
            </w:r>
            <w:r w:rsidR="00011D29" w:rsidRPr="00217CA0">
              <w:rPr>
                <w:sz w:val="22"/>
              </w:rPr>
              <w:t xml:space="preserve"> office </w:t>
            </w:r>
            <w:r w:rsidR="00011D29">
              <w:rPr>
                <w:sz w:val="22"/>
              </w:rPr>
              <w:t>site</w:t>
            </w:r>
            <w:r>
              <w:rPr>
                <w:sz w:val="22"/>
              </w:rPr>
              <w:t>s</w:t>
            </w:r>
            <w:r w:rsidR="00011D29" w:rsidRPr="00217CA0">
              <w:rPr>
                <w:sz w:val="22"/>
              </w:rPr>
              <w:t xml:space="preserve"> lost to residential uses.</w:t>
            </w:r>
          </w:p>
        </w:tc>
        <w:tc>
          <w:tcPr>
            <w:tcW w:w="538" w:type="dxa"/>
            <w:tcBorders>
              <w:bottom w:val="single" w:sz="4" w:space="0" w:color="auto"/>
            </w:tcBorders>
            <w:shd w:val="clear" w:color="auto" w:fill="008000"/>
          </w:tcPr>
          <w:p w14:paraId="7EECDF61" w14:textId="77777777" w:rsidR="00011D29" w:rsidRPr="00217CA0" w:rsidRDefault="00011D29" w:rsidP="00A006A3">
            <w:pPr>
              <w:jc w:val="center"/>
              <w:rPr>
                <w:sz w:val="20"/>
                <w:szCs w:val="20"/>
              </w:rPr>
            </w:pPr>
          </w:p>
        </w:tc>
      </w:tr>
      <w:tr w:rsidR="00011D29" w:rsidRPr="00217CA0" w14:paraId="5940D22F" w14:textId="77777777" w:rsidTr="00A006A3">
        <w:trPr>
          <w:trHeight w:val="311"/>
        </w:trPr>
        <w:tc>
          <w:tcPr>
            <w:tcW w:w="5557" w:type="dxa"/>
            <w:tcBorders>
              <w:bottom w:val="single" w:sz="4" w:space="0" w:color="auto"/>
            </w:tcBorders>
          </w:tcPr>
          <w:p w14:paraId="71ED956C" w14:textId="77777777" w:rsidR="00011D29" w:rsidRPr="00FD6D2D" w:rsidRDefault="00011D29" w:rsidP="00A006A3">
            <w:pPr>
              <w:rPr>
                <w:sz w:val="22"/>
              </w:rPr>
            </w:pPr>
            <w:r w:rsidRPr="00FD6D2D">
              <w:rPr>
                <w:sz w:val="22"/>
              </w:rPr>
              <w:t>Applications permitted for agricultural and forestry buildings</w:t>
            </w:r>
          </w:p>
        </w:tc>
        <w:tc>
          <w:tcPr>
            <w:tcW w:w="3261" w:type="dxa"/>
            <w:tcBorders>
              <w:bottom w:val="single" w:sz="4" w:space="0" w:color="auto"/>
            </w:tcBorders>
          </w:tcPr>
          <w:p w14:paraId="428A3D7B" w14:textId="77777777" w:rsidR="00011D29" w:rsidRPr="00217CA0" w:rsidRDefault="00011D29" w:rsidP="00A006A3">
            <w:pPr>
              <w:ind w:right="-44"/>
              <w:jc w:val="center"/>
              <w:rPr>
                <w:sz w:val="22"/>
              </w:rPr>
            </w:pPr>
            <w:r w:rsidRPr="00217CA0">
              <w:rPr>
                <w:sz w:val="22"/>
              </w:rPr>
              <w:t>-</w:t>
            </w:r>
          </w:p>
        </w:tc>
        <w:tc>
          <w:tcPr>
            <w:tcW w:w="2268" w:type="dxa"/>
            <w:tcBorders>
              <w:bottom w:val="single" w:sz="4" w:space="0" w:color="auto"/>
              <w:right w:val="single" w:sz="4" w:space="0" w:color="auto"/>
            </w:tcBorders>
          </w:tcPr>
          <w:p w14:paraId="4C656B3A" w14:textId="77777777" w:rsidR="00011D29" w:rsidRPr="00217CA0" w:rsidRDefault="00011D29" w:rsidP="00A006A3">
            <w:pPr>
              <w:rPr>
                <w:sz w:val="21"/>
                <w:szCs w:val="21"/>
              </w:rPr>
            </w:pPr>
            <w:r w:rsidRPr="00217CA0">
              <w:rPr>
                <w:sz w:val="21"/>
                <w:szCs w:val="21"/>
              </w:rPr>
              <w:t>DP50</w:t>
            </w:r>
          </w:p>
        </w:tc>
        <w:tc>
          <w:tcPr>
            <w:tcW w:w="3118" w:type="dxa"/>
            <w:tcBorders>
              <w:left w:val="single" w:sz="4" w:space="0" w:color="auto"/>
              <w:bottom w:val="single" w:sz="4" w:space="0" w:color="auto"/>
            </w:tcBorders>
          </w:tcPr>
          <w:p w14:paraId="69CF7E36" w14:textId="273851E6" w:rsidR="00011D29" w:rsidRPr="00217CA0" w:rsidRDefault="00011D29" w:rsidP="00A006A3">
            <w:pPr>
              <w:rPr>
                <w:sz w:val="22"/>
              </w:rPr>
            </w:pPr>
            <w:r>
              <w:rPr>
                <w:sz w:val="22"/>
              </w:rPr>
              <w:t>2</w:t>
            </w:r>
            <w:r w:rsidR="00C547D7">
              <w:rPr>
                <w:sz w:val="22"/>
              </w:rPr>
              <w:t>0</w:t>
            </w:r>
            <w:r w:rsidR="00271754">
              <w:rPr>
                <w:sz w:val="22"/>
              </w:rPr>
              <w:t xml:space="preserve"> proposals</w:t>
            </w:r>
            <w:r w:rsidRPr="00217CA0">
              <w:rPr>
                <w:sz w:val="22"/>
              </w:rPr>
              <w:t xml:space="preserve"> permitted.</w:t>
            </w:r>
          </w:p>
        </w:tc>
        <w:tc>
          <w:tcPr>
            <w:tcW w:w="538" w:type="dxa"/>
            <w:tcBorders>
              <w:bottom w:val="single" w:sz="4" w:space="0" w:color="auto"/>
            </w:tcBorders>
            <w:shd w:val="clear" w:color="auto" w:fill="008000"/>
          </w:tcPr>
          <w:p w14:paraId="5829DE45" w14:textId="77777777" w:rsidR="00011D29" w:rsidRPr="00217CA0" w:rsidRDefault="00011D29" w:rsidP="00A006A3">
            <w:pPr>
              <w:jc w:val="center"/>
              <w:rPr>
                <w:sz w:val="20"/>
                <w:szCs w:val="20"/>
              </w:rPr>
            </w:pPr>
          </w:p>
        </w:tc>
      </w:tr>
      <w:tr w:rsidR="00011D29" w:rsidRPr="00217CA0" w14:paraId="4E313B2C" w14:textId="77777777" w:rsidTr="00A006A3">
        <w:trPr>
          <w:trHeight w:val="274"/>
        </w:trPr>
        <w:tc>
          <w:tcPr>
            <w:tcW w:w="5557" w:type="dxa"/>
            <w:tcBorders>
              <w:bottom w:val="single" w:sz="4" w:space="0" w:color="auto"/>
            </w:tcBorders>
          </w:tcPr>
          <w:p w14:paraId="26CC3C1A" w14:textId="77777777" w:rsidR="00011D29" w:rsidRPr="00FD6D2D" w:rsidRDefault="00011D29" w:rsidP="00A006A3">
            <w:pPr>
              <w:rPr>
                <w:sz w:val="22"/>
              </w:rPr>
            </w:pPr>
            <w:r w:rsidRPr="00FD6D2D">
              <w:rPr>
                <w:sz w:val="22"/>
              </w:rPr>
              <w:lastRenderedPageBreak/>
              <w:t>Applications permitted for recreational horse-keeping and associated development</w:t>
            </w:r>
          </w:p>
        </w:tc>
        <w:tc>
          <w:tcPr>
            <w:tcW w:w="3261" w:type="dxa"/>
            <w:tcBorders>
              <w:bottom w:val="single" w:sz="4" w:space="0" w:color="auto"/>
            </w:tcBorders>
          </w:tcPr>
          <w:p w14:paraId="042A81EC" w14:textId="77777777" w:rsidR="00011D29" w:rsidRPr="00217CA0" w:rsidRDefault="00011D29" w:rsidP="00A006A3">
            <w:pPr>
              <w:ind w:right="-44"/>
              <w:jc w:val="center"/>
              <w:rPr>
                <w:sz w:val="22"/>
              </w:rPr>
            </w:pPr>
            <w:r w:rsidRPr="00217CA0">
              <w:rPr>
                <w:sz w:val="22"/>
              </w:rPr>
              <w:t>-</w:t>
            </w:r>
          </w:p>
        </w:tc>
        <w:tc>
          <w:tcPr>
            <w:tcW w:w="2268" w:type="dxa"/>
            <w:tcBorders>
              <w:bottom w:val="single" w:sz="4" w:space="0" w:color="auto"/>
              <w:right w:val="single" w:sz="4" w:space="0" w:color="auto"/>
            </w:tcBorders>
          </w:tcPr>
          <w:p w14:paraId="6DC6F15B" w14:textId="77777777" w:rsidR="00011D29" w:rsidRPr="00217CA0" w:rsidRDefault="00011D29" w:rsidP="00A006A3">
            <w:pPr>
              <w:ind w:right="-112"/>
              <w:rPr>
                <w:sz w:val="21"/>
                <w:szCs w:val="21"/>
              </w:rPr>
            </w:pPr>
            <w:r w:rsidRPr="00217CA0">
              <w:rPr>
                <w:sz w:val="21"/>
                <w:szCs w:val="21"/>
              </w:rPr>
              <w:t>DP51, DP52, DP53</w:t>
            </w:r>
          </w:p>
        </w:tc>
        <w:tc>
          <w:tcPr>
            <w:tcW w:w="3118" w:type="dxa"/>
            <w:tcBorders>
              <w:left w:val="single" w:sz="4" w:space="0" w:color="auto"/>
              <w:bottom w:val="single" w:sz="4" w:space="0" w:color="auto"/>
            </w:tcBorders>
          </w:tcPr>
          <w:p w14:paraId="042619DC" w14:textId="3F1431CA" w:rsidR="00011D29" w:rsidRPr="00217CA0" w:rsidRDefault="00271754" w:rsidP="00A006A3">
            <w:pPr>
              <w:rPr>
                <w:sz w:val="22"/>
              </w:rPr>
            </w:pPr>
            <w:r>
              <w:rPr>
                <w:sz w:val="22"/>
              </w:rPr>
              <w:t>9</w:t>
            </w:r>
            <w:r w:rsidR="00CF7472">
              <w:rPr>
                <w:sz w:val="22"/>
              </w:rPr>
              <w:t xml:space="preserve"> applications</w:t>
            </w:r>
            <w:r w:rsidR="00011D29" w:rsidRPr="00217CA0">
              <w:rPr>
                <w:sz w:val="22"/>
              </w:rPr>
              <w:t xml:space="preserve"> permitted.</w:t>
            </w:r>
          </w:p>
        </w:tc>
        <w:tc>
          <w:tcPr>
            <w:tcW w:w="538" w:type="dxa"/>
            <w:tcBorders>
              <w:bottom w:val="single" w:sz="4" w:space="0" w:color="auto"/>
            </w:tcBorders>
            <w:shd w:val="clear" w:color="auto" w:fill="008000"/>
          </w:tcPr>
          <w:p w14:paraId="44BAD2AE" w14:textId="77777777" w:rsidR="00011D29" w:rsidRPr="00217CA0" w:rsidRDefault="00011D29" w:rsidP="00A006A3">
            <w:pPr>
              <w:jc w:val="center"/>
              <w:rPr>
                <w:sz w:val="20"/>
                <w:szCs w:val="20"/>
              </w:rPr>
            </w:pPr>
          </w:p>
        </w:tc>
      </w:tr>
      <w:tr w:rsidR="00011D29" w:rsidRPr="00217CA0" w14:paraId="32924C7A" w14:textId="77777777" w:rsidTr="00A006A3">
        <w:trPr>
          <w:trHeight w:val="558"/>
        </w:trPr>
        <w:tc>
          <w:tcPr>
            <w:tcW w:w="5557" w:type="dxa"/>
            <w:tcBorders>
              <w:bottom w:val="single" w:sz="4" w:space="0" w:color="auto"/>
            </w:tcBorders>
          </w:tcPr>
          <w:p w14:paraId="51B7D848" w14:textId="77777777" w:rsidR="00011D29" w:rsidRPr="00FD6D2D" w:rsidRDefault="00011D29" w:rsidP="00A006A3">
            <w:pPr>
              <w:ind w:right="-108"/>
              <w:rPr>
                <w:sz w:val="22"/>
              </w:rPr>
            </w:pPr>
            <w:r w:rsidRPr="00FD6D2D">
              <w:rPr>
                <w:sz w:val="22"/>
              </w:rPr>
              <w:t xml:space="preserve">Planning applications for new or improved visitor facilities and accommodation </w:t>
            </w:r>
          </w:p>
        </w:tc>
        <w:tc>
          <w:tcPr>
            <w:tcW w:w="3261" w:type="dxa"/>
            <w:tcBorders>
              <w:bottom w:val="single" w:sz="4" w:space="0" w:color="auto"/>
            </w:tcBorders>
          </w:tcPr>
          <w:p w14:paraId="14F11F12" w14:textId="77777777" w:rsidR="00011D29" w:rsidRPr="00217CA0" w:rsidRDefault="00011D29" w:rsidP="00A006A3">
            <w:pPr>
              <w:ind w:right="-44"/>
              <w:rPr>
                <w:sz w:val="22"/>
              </w:rPr>
            </w:pPr>
            <w:r w:rsidRPr="00217CA0">
              <w:rPr>
                <w:sz w:val="22"/>
              </w:rPr>
              <w:t>To ensure the defined villages remain the focus for visitor facilities &amp; accommodation</w:t>
            </w:r>
          </w:p>
        </w:tc>
        <w:tc>
          <w:tcPr>
            <w:tcW w:w="2268" w:type="dxa"/>
            <w:tcBorders>
              <w:bottom w:val="single" w:sz="4" w:space="0" w:color="auto"/>
              <w:right w:val="single" w:sz="4" w:space="0" w:color="auto"/>
            </w:tcBorders>
          </w:tcPr>
          <w:p w14:paraId="0141B203" w14:textId="77777777" w:rsidR="00011D29" w:rsidRPr="00217CA0" w:rsidRDefault="00011D29" w:rsidP="00A006A3">
            <w:pPr>
              <w:ind w:right="-108"/>
              <w:rPr>
                <w:sz w:val="21"/>
                <w:szCs w:val="21"/>
              </w:rPr>
            </w:pPr>
            <w:r w:rsidRPr="00217CA0">
              <w:rPr>
                <w:sz w:val="21"/>
                <w:szCs w:val="21"/>
              </w:rPr>
              <w:t>SP46, DP45</w:t>
            </w:r>
          </w:p>
        </w:tc>
        <w:tc>
          <w:tcPr>
            <w:tcW w:w="3118" w:type="dxa"/>
            <w:tcBorders>
              <w:left w:val="single" w:sz="4" w:space="0" w:color="auto"/>
              <w:bottom w:val="single" w:sz="4" w:space="0" w:color="auto"/>
            </w:tcBorders>
          </w:tcPr>
          <w:p w14:paraId="5056C09B" w14:textId="00322591" w:rsidR="00011D29" w:rsidRPr="00217CA0" w:rsidRDefault="00EC2E66" w:rsidP="00A006A3">
            <w:pPr>
              <w:rPr>
                <w:sz w:val="22"/>
              </w:rPr>
            </w:pPr>
            <w:r>
              <w:rPr>
                <w:sz w:val="22"/>
              </w:rPr>
              <w:t xml:space="preserve">21 </w:t>
            </w:r>
            <w:r w:rsidR="00011D29" w:rsidRPr="00217CA0">
              <w:rPr>
                <w:sz w:val="22"/>
              </w:rPr>
              <w:t>applications permitted for new / improved visitor facilities / accommodation</w:t>
            </w:r>
            <w:r w:rsidR="00011D29">
              <w:rPr>
                <w:sz w:val="22"/>
              </w:rPr>
              <w:t>, mostly outside the four defined villages</w:t>
            </w:r>
            <w:r w:rsidR="00011D29" w:rsidRPr="00217CA0">
              <w:rPr>
                <w:sz w:val="22"/>
              </w:rPr>
              <w:t>.</w:t>
            </w:r>
          </w:p>
        </w:tc>
        <w:tc>
          <w:tcPr>
            <w:tcW w:w="538" w:type="dxa"/>
            <w:tcBorders>
              <w:bottom w:val="single" w:sz="4" w:space="0" w:color="auto"/>
            </w:tcBorders>
            <w:shd w:val="clear" w:color="auto" w:fill="008000"/>
          </w:tcPr>
          <w:p w14:paraId="2B27D7E6" w14:textId="77777777" w:rsidR="00011D29" w:rsidRPr="00217CA0" w:rsidRDefault="00011D29" w:rsidP="00A006A3">
            <w:pPr>
              <w:jc w:val="center"/>
              <w:rPr>
                <w:sz w:val="22"/>
              </w:rPr>
            </w:pPr>
          </w:p>
        </w:tc>
      </w:tr>
    </w:tbl>
    <w:p w14:paraId="318CA775" w14:textId="77777777" w:rsidR="00011D29" w:rsidRPr="00217CA0" w:rsidRDefault="00011D29" w:rsidP="00011D29">
      <w:pPr>
        <w:spacing w:after="160" w:line="259" w:lineRule="auto"/>
        <w:rPr>
          <w:b/>
          <w:sz w:val="28"/>
          <w:szCs w:val="28"/>
        </w:rPr>
      </w:pPr>
      <w:r w:rsidRPr="00217CA0">
        <w:rPr>
          <w:b/>
          <w:sz w:val="28"/>
          <w:szCs w:val="28"/>
        </w:rPr>
        <w:br w:type="page"/>
      </w:r>
    </w:p>
    <w:p w14:paraId="7C0103C0" w14:textId="77777777" w:rsidR="00011D29" w:rsidRPr="00217CA0" w:rsidRDefault="00011D29" w:rsidP="00011D29">
      <w:pPr>
        <w:pStyle w:val="Heading1"/>
      </w:pPr>
      <w:bookmarkStart w:id="14" w:name="_Toc92364680"/>
      <w:r w:rsidRPr="00FD6D2D">
        <w:lastRenderedPageBreak/>
        <w:t>APPENDIX</w:t>
      </w:r>
      <w:r w:rsidRPr="00217CA0">
        <w:t xml:space="preserve"> 2:  Five Year Housing Land Supply</w:t>
      </w:r>
      <w:bookmarkEnd w:id="14"/>
    </w:p>
    <w:p w14:paraId="4DF9CB32" w14:textId="77777777" w:rsidR="00011D29" w:rsidRPr="00217CA0" w:rsidRDefault="00011D29" w:rsidP="00011D29">
      <w:pPr>
        <w:jc w:val="right"/>
        <w:rPr>
          <w:sz w:val="28"/>
          <w:szCs w:val="28"/>
        </w:rPr>
      </w:pPr>
    </w:p>
    <w:p w14:paraId="46139F55" w14:textId="6DDB90DE" w:rsidR="009C3AB5" w:rsidRDefault="00D02047" w:rsidP="00011D29">
      <w:pPr>
        <w:jc w:val="both"/>
      </w:pPr>
      <w:r w:rsidRPr="00CD3B0D">
        <w:t xml:space="preserve">Following publication of the NPPF in December 2024 and the latest standard method, the housing requirement as set out in the adopted Local Plan is now considered out of date </w:t>
      </w:r>
      <w:proofErr w:type="gramStart"/>
      <w:r w:rsidRPr="00CD3B0D">
        <w:t>with regard to</w:t>
      </w:r>
      <w:proofErr w:type="gramEnd"/>
      <w:r w:rsidRPr="00CD3B0D">
        <w:t xml:space="preserve"> NPPF paragraph 78. </w:t>
      </w:r>
      <w:r w:rsidRPr="00217CA0">
        <w:t>The</w:t>
      </w:r>
      <w:r w:rsidR="00011D29" w:rsidRPr="00217CA0">
        <w:t xml:space="preserve"> housing land supply</w:t>
      </w:r>
      <w:r w:rsidR="005A06A8">
        <w:t xml:space="preserve"> calculation below</w:t>
      </w:r>
      <w:r w:rsidR="00011D29" w:rsidRPr="00217CA0">
        <w:t xml:space="preserve"> is based on the</w:t>
      </w:r>
      <w:r w:rsidR="005A06A8">
        <w:t xml:space="preserve"> New Forest</w:t>
      </w:r>
      <w:r w:rsidR="00011D29" w:rsidRPr="00217CA0">
        <w:t xml:space="preserve"> </w:t>
      </w:r>
      <w:r w:rsidR="00091CCC">
        <w:t xml:space="preserve">Housing Needs Assessment </w:t>
      </w:r>
      <w:r w:rsidR="000B264F">
        <w:t>published in 2025 as part of the evidence base for the</w:t>
      </w:r>
      <w:r w:rsidR="00011D29" w:rsidRPr="00217CA0">
        <w:t xml:space="preserve"> Authority's Local Plan</w:t>
      </w:r>
      <w:r w:rsidR="00AE6524">
        <w:t xml:space="preserve"> Review</w:t>
      </w:r>
      <w:r w:rsidR="00602B10">
        <w:t>,</w:t>
      </w:r>
      <w:r w:rsidR="00011D29" w:rsidRPr="00217CA0">
        <w:t xml:space="preserve"> which </w:t>
      </w:r>
      <w:r w:rsidR="009C3AB5">
        <w:t>was calculated using the Government’s standard methodology.</w:t>
      </w:r>
      <w:r w:rsidR="00011D29" w:rsidRPr="00217CA0">
        <w:t xml:space="preserve"> </w:t>
      </w:r>
    </w:p>
    <w:p w14:paraId="19FECCA8" w14:textId="21412BB2" w:rsidR="00817795" w:rsidRPr="00217CA0" w:rsidRDefault="00817795" w:rsidP="00817795">
      <w:pPr>
        <w:ind w:right="-23"/>
      </w:pPr>
      <w:r>
        <w:t xml:space="preserve">This methodology does not </w:t>
      </w:r>
      <w:proofErr w:type="gramStart"/>
      <w:r>
        <w:t>take into account</w:t>
      </w:r>
      <w:proofErr w:type="gramEnd"/>
      <w:r>
        <w:t xml:space="preserve"> the capacity or appropriateness of the delivery of this level of housing need within a protected landscape where 56%</w:t>
      </w:r>
      <w:r w:rsidR="0063465A">
        <w:t xml:space="preserve"> of land</w:t>
      </w:r>
      <w:r>
        <w:t xml:space="preserve"> is designated of international value for nature conservation. The emerging review of the Local Plan plans for a lower, more appropriate housing figure based on the individual circumstances of the National Park. </w:t>
      </w:r>
      <w:r w:rsidRPr="00217CA0">
        <w:t xml:space="preserve">It should also be noted that the Authority is not covered by the Government’s ‘Housing Delivery Test’ and national planning policy continues to recognise that National Parks are areas where development should be restricted. </w:t>
      </w:r>
    </w:p>
    <w:p w14:paraId="0E04E41C" w14:textId="77777777" w:rsidR="00011D29" w:rsidRPr="00217CA0" w:rsidRDefault="00011D29" w:rsidP="00011D29">
      <w:pPr>
        <w:jc w:val="both"/>
      </w:pPr>
    </w:p>
    <w:p w14:paraId="2D6932DC" w14:textId="77777777" w:rsidR="00011D29" w:rsidRPr="00217CA0" w:rsidRDefault="00011D29" w:rsidP="00011D29">
      <w:pPr>
        <w:jc w:val="both"/>
      </w:pPr>
    </w:p>
    <w:tbl>
      <w:tblPr>
        <w:tblStyle w:val="TableGrid"/>
        <w:tblW w:w="11052" w:type="dxa"/>
        <w:tblLayout w:type="fixed"/>
        <w:tblLook w:val="04A0" w:firstRow="1" w:lastRow="0" w:firstColumn="1" w:lastColumn="0" w:noHBand="0" w:noVBand="1"/>
      </w:tblPr>
      <w:tblGrid>
        <w:gridCol w:w="675"/>
        <w:gridCol w:w="8534"/>
        <w:gridCol w:w="1843"/>
      </w:tblGrid>
      <w:tr w:rsidR="00011D29" w:rsidRPr="00217CA0" w14:paraId="25BDCC20" w14:textId="77777777" w:rsidTr="00A006A3">
        <w:tc>
          <w:tcPr>
            <w:tcW w:w="675" w:type="dxa"/>
          </w:tcPr>
          <w:p w14:paraId="37D0E92E" w14:textId="77777777" w:rsidR="00011D29" w:rsidRPr="00217CA0" w:rsidRDefault="00011D29" w:rsidP="00A006A3">
            <w:pPr>
              <w:rPr>
                <w:rFonts w:eastAsia="Times New Roman"/>
                <w:b/>
                <w:bCs/>
                <w:szCs w:val="24"/>
                <w:lang w:eastAsia="en-GB"/>
              </w:rPr>
            </w:pPr>
          </w:p>
        </w:tc>
        <w:tc>
          <w:tcPr>
            <w:tcW w:w="8534" w:type="dxa"/>
          </w:tcPr>
          <w:p w14:paraId="648E5995" w14:textId="77777777" w:rsidR="00011D29" w:rsidRPr="00217CA0" w:rsidRDefault="00011D29" w:rsidP="00A006A3">
            <w:pPr>
              <w:jc w:val="both"/>
              <w:rPr>
                <w:rFonts w:eastAsia="Times New Roman"/>
                <w:b/>
                <w:szCs w:val="24"/>
                <w:lang w:eastAsia="en-GB"/>
              </w:rPr>
            </w:pPr>
          </w:p>
        </w:tc>
        <w:tc>
          <w:tcPr>
            <w:tcW w:w="1843" w:type="dxa"/>
          </w:tcPr>
          <w:p w14:paraId="440F9B18" w14:textId="77777777" w:rsidR="00011D29" w:rsidRPr="00217CA0" w:rsidRDefault="00011D29" w:rsidP="00A006A3">
            <w:pPr>
              <w:ind w:right="240"/>
              <w:jc w:val="right"/>
              <w:rPr>
                <w:rFonts w:eastAsia="Times New Roman"/>
                <w:b/>
                <w:szCs w:val="24"/>
                <w:lang w:eastAsia="en-GB"/>
              </w:rPr>
            </w:pPr>
            <w:r w:rsidRPr="00217CA0">
              <w:rPr>
                <w:rFonts w:eastAsia="Times New Roman"/>
                <w:b/>
                <w:szCs w:val="24"/>
                <w:lang w:eastAsia="en-GB"/>
              </w:rPr>
              <w:t>Dwellings</w:t>
            </w:r>
          </w:p>
        </w:tc>
      </w:tr>
      <w:tr w:rsidR="00481501" w:rsidRPr="00217CA0" w14:paraId="511C3C37" w14:textId="77777777" w:rsidTr="00676548">
        <w:trPr>
          <w:trHeight w:val="447"/>
        </w:trPr>
        <w:tc>
          <w:tcPr>
            <w:tcW w:w="675" w:type="dxa"/>
          </w:tcPr>
          <w:p w14:paraId="7D4CAA62" w14:textId="77777777" w:rsidR="00481501" w:rsidRPr="00217CA0" w:rsidRDefault="00481501" w:rsidP="00481501">
            <w:pPr>
              <w:rPr>
                <w:rFonts w:eastAsia="Times New Roman"/>
                <w:b/>
                <w:bCs/>
                <w:szCs w:val="24"/>
                <w:lang w:eastAsia="en-GB"/>
              </w:rPr>
            </w:pPr>
            <w:r w:rsidRPr="00217CA0">
              <w:rPr>
                <w:rFonts w:eastAsia="Times New Roman"/>
                <w:b/>
                <w:bCs/>
                <w:szCs w:val="24"/>
                <w:lang w:eastAsia="en-GB"/>
              </w:rPr>
              <w:t>A</w:t>
            </w:r>
          </w:p>
        </w:tc>
        <w:tc>
          <w:tcPr>
            <w:tcW w:w="8534" w:type="dxa"/>
          </w:tcPr>
          <w:p w14:paraId="01316BBD" w14:textId="77777777" w:rsidR="00481501" w:rsidRPr="00217CA0" w:rsidRDefault="00481501" w:rsidP="00481501">
            <w:pPr>
              <w:jc w:val="both"/>
            </w:pPr>
            <w:r w:rsidRPr="00217CA0">
              <w:t>Housing requirement in the Local Plan period</w:t>
            </w:r>
          </w:p>
        </w:tc>
        <w:tc>
          <w:tcPr>
            <w:tcW w:w="1843" w:type="dxa"/>
            <w:vAlign w:val="center"/>
          </w:tcPr>
          <w:p w14:paraId="5FFEE822" w14:textId="4F2D0257" w:rsidR="00481501" w:rsidRPr="00217CA0" w:rsidRDefault="00481501" w:rsidP="00481501">
            <w:pPr>
              <w:ind w:right="152"/>
              <w:jc w:val="center"/>
            </w:pPr>
            <w:r>
              <w:rPr>
                <w:color w:val="000000"/>
              </w:rPr>
              <w:t>4940</w:t>
            </w:r>
          </w:p>
        </w:tc>
      </w:tr>
      <w:tr w:rsidR="00481501" w:rsidRPr="00217CA0" w14:paraId="55FC2DB0" w14:textId="77777777" w:rsidTr="00676548">
        <w:trPr>
          <w:trHeight w:val="409"/>
        </w:trPr>
        <w:tc>
          <w:tcPr>
            <w:tcW w:w="675" w:type="dxa"/>
          </w:tcPr>
          <w:p w14:paraId="433EE372" w14:textId="77777777" w:rsidR="00481501" w:rsidRPr="00217CA0" w:rsidRDefault="00481501" w:rsidP="00481501">
            <w:pPr>
              <w:rPr>
                <w:rFonts w:eastAsia="Times New Roman"/>
                <w:b/>
                <w:bCs/>
                <w:szCs w:val="24"/>
                <w:lang w:eastAsia="en-GB"/>
              </w:rPr>
            </w:pPr>
            <w:r w:rsidRPr="00217CA0">
              <w:rPr>
                <w:rFonts w:eastAsia="Times New Roman"/>
                <w:b/>
                <w:bCs/>
                <w:szCs w:val="24"/>
                <w:lang w:eastAsia="en-GB"/>
              </w:rPr>
              <w:t>B</w:t>
            </w:r>
          </w:p>
        </w:tc>
        <w:tc>
          <w:tcPr>
            <w:tcW w:w="8534" w:type="dxa"/>
          </w:tcPr>
          <w:p w14:paraId="5EA8619B" w14:textId="77777777" w:rsidR="00481501" w:rsidRPr="00217CA0" w:rsidRDefault="00481501" w:rsidP="00481501">
            <w:pPr>
              <w:jc w:val="both"/>
            </w:pPr>
            <w:r w:rsidRPr="00217CA0">
              <w:t>Completions so far in the Plan period</w:t>
            </w:r>
          </w:p>
        </w:tc>
        <w:tc>
          <w:tcPr>
            <w:tcW w:w="1843" w:type="dxa"/>
            <w:vAlign w:val="center"/>
          </w:tcPr>
          <w:p w14:paraId="7CB5654D" w14:textId="0CBFAE75" w:rsidR="00481501" w:rsidRPr="00217CA0" w:rsidRDefault="00481501" w:rsidP="00481501">
            <w:pPr>
              <w:ind w:right="152"/>
              <w:jc w:val="center"/>
            </w:pPr>
            <w:r>
              <w:rPr>
                <w:color w:val="000000"/>
              </w:rPr>
              <w:t>59</w:t>
            </w:r>
          </w:p>
        </w:tc>
      </w:tr>
      <w:tr w:rsidR="00481501" w:rsidRPr="00217CA0" w14:paraId="5D649B38" w14:textId="77777777" w:rsidTr="00676548">
        <w:trPr>
          <w:trHeight w:val="413"/>
        </w:trPr>
        <w:tc>
          <w:tcPr>
            <w:tcW w:w="675" w:type="dxa"/>
          </w:tcPr>
          <w:p w14:paraId="4671965F" w14:textId="77777777" w:rsidR="00481501" w:rsidRPr="00217CA0" w:rsidRDefault="00481501" w:rsidP="00481501">
            <w:pPr>
              <w:rPr>
                <w:rFonts w:eastAsia="Times New Roman"/>
                <w:b/>
                <w:bCs/>
                <w:szCs w:val="24"/>
                <w:lang w:eastAsia="en-GB"/>
              </w:rPr>
            </w:pPr>
            <w:r w:rsidRPr="00217CA0">
              <w:rPr>
                <w:rFonts w:eastAsia="Times New Roman"/>
                <w:b/>
                <w:bCs/>
                <w:szCs w:val="24"/>
                <w:lang w:eastAsia="en-GB"/>
              </w:rPr>
              <w:t>C</w:t>
            </w:r>
          </w:p>
        </w:tc>
        <w:tc>
          <w:tcPr>
            <w:tcW w:w="8534" w:type="dxa"/>
          </w:tcPr>
          <w:p w14:paraId="0EA2A7C3" w14:textId="77777777" w:rsidR="00481501" w:rsidRPr="00217CA0" w:rsidRDefault="00481501" w:rsidP="00481501">
            <w:pPr>
              <w:jc w:val="both"/>
            </w:pPr>
            <w:r w:rsidRPr="00217CA0">
              <w:t>Number of dwellings left to deliver in the Plan period (A – B)</w:t>
            </w:r>
          </w:p>
        </w:tc>
        <w:tc>
          <w:tcPr>
            <w:tcW w:w="1843" w:type="dxa"/>
            <w:vAlign w:val="center"/>
          </w:tcPr>
          <w:p w14:paraId="110A90E0" w14:textId="309472BB" w:rsidR="00481501" w:rsidRPr="00217CA0" w:rsidRDefault="00481501" w:rsidP="00481501">
            <w:pPr>
              <w:ind w:right="152"/>
              <w:jc w:val="center"/>
            </w:pPr>
            <w:r>
              <w:rPr>
                <w:color w:val="000000"/>
              </w:rPr>
              <w:t>4881</w:t>
            </w:r>
          </w:p>
        </w:tc>
      </w:tr>
      <w:tr w:rsidR="00481501" w:rsidRPr="00217CA0" w14:paraId="0302CCC9" w14:textId="77777777" w:rsidTr="00AE6524">
        <w:trPr>
          <w:trHeight w:val="327"/>
        </w:trPr>
        <w:tc>
          <w:tcPr>
            <w:tcW w:w="675" w:type="dxa"/>
          </w:tcPr>
          <w:p w14:paraId="77A395DF" w14:textId="77777777" w:rsidR="00481501" w:rsidRPr="00217CA0" w:rsidRDefault="00481501" w:rsidP="00481501">
            <w:pPr>
              <w:rPr>
                <w:rFonts w:eastAsia="Times New Roman"/>
                <w:b/>
                <w:bCs/>
                <w:szCs w:val="24"/>
                <w:lang w:eastAsia="en-GB"/>
              </w:rPr>
            </w:pPr>
            <w:r w:rsidRPr="00217CA0">
              <w:rPr>
                <w:rFonts w:eastAsia="Times New Roman"/>
                <w:b/>
                <w:bCs/>
                <w:szCs w:val="24"/>
                <w:lang w:eastAsia="en-GB"/>
              </w:rPr>
              <w:t>D</w:t>
            </w:r>
          </w:p>
        </w:tc>
        <w:tc>
          <w:tcPr>
            <w:tcW w:w="8534" w:type="dxa"/>
          </w:tcPr>
          <w:p w14:paraId="59B986BE" w14:textId="77777777" w:rsidR="00481501" w:rsidRPr="00217CA0" w:rsidRDefault="00481501" w:rsidP="00481501">
            <w:pPr>
              <w:rPr>
                <w:rFonts w:eastAsia="Times New Roman"/>
                <w:szCs w:val="24"/>
                <w:lang w:eastAsia="en-GB"/>
              </w:rPr>
            </w:pPr>
            <w:r w:rsidRPr="00217CA0">
              <w:rPr>
                <w:rFonts w:eastAsia="Times New Roman"/>
                <w:szCs w:val="24"/>
                <w:lang w:eastAsia="en-GB"/>
              </w:rPr>
              <w:t>Number of years of the Plan period left</w:t>
            </w:r>
          </w:p>
        </w:tc>
        <w:tc>
          <w:tcPr>
            <w:tcW w:w="1843" w:type="dxa"/>
            <w:vAlign w:val="center"/>
          </w:tcPr>
          <w:p w14:paraId="3D73153E" w14:textId="4A023A90" w:rsidR="00481501" w:rsidRPr="00217CA0" w:rsidRDefault="00481501" w:rsidP="00481501">
            <w:pPr>
              <w:ind w:right="152"/>
              <w:jc w:val="center"/>
              <w:rPr>
                <w:rFonts w:eastAsia="Times New Roman"/>
                <w:szCs w:val="24"/>
                <w:lang w:eastAsia="en-GB"/>
              </w:rPr>
            </w:pPr>
            <w:r>
              <w:rPr>
                <w:color w:val="000000"/>
              </w:rPr>
              <w:t>18</w:t>
            </w:r>
          </w:p>
        </w:tc>
      </w:tr>
      <w:tr w:rsidR="00481501" w:rsidRPr="00217CA0" w14:paraId="58C59C9A" w14:textId="77777777" w:rsidTr="00676548">
        <w:trPr>
          <w:trHeight w:val="407"/>
        </w:trPr>
        <w:tc>
          <w:tcPr>
            <w:tcW w:w="675" w:type="dxa"/>
          </w:tcPr>
          <w:p w14:paraId="1D76E5A8" w14:textId="77777777" w:rsidR="00481501" w:rsidRPr="00217CA0" w:rsidRDefault="00481501" w:rsidP="00481501">
            <w:pPr>
              <w:rPr>
                <w:rFonts w:eastAsia="Times New Roman"/>
                <w:b/>
                <w:bCs/>
                <w:szCs w:val="24"/>
                <w:lang w:eastAsia="en-GB"/>
              </w:rPr>
            </w:pPr>
            <w:r w:rsidRPr="00217CA0">
              <w:rPr>
                <w:rFonts w:eastAsia="Times New Roman"/>
                <w:b/>
                <w:bCs/>
                <w:szCs w:val="24"/>
                <w:lang w:eastAsia="en-GB"/>
              </w:rPr>
              <w:t>E</w:t>
            </w:r>
          </w:p>
        </w:tc>
        <w:tc>
          <w:tcPr>
            <w:tcW w:w="8534" w:type="dxa"/>
          </w:tcPr>
          <w:p w14:paraId="75551F12" w14:textId="77777777" w:rsidR="00481501" w:rsidRPr="00217CA0" w:rsidRDefault="00481501" w:rsidP="00481501">
            <w:pPr>
              <w:jc w:val="both"/>
            </w:pPr>
            <w:r w:rsidRPr="00217CA0">
              <w:t>Annualised average requirement for the remainder of the Plan period (C ÷ D)</w:t>
            </w:r>
          </w:p>
        </w:tc>
        <w:tc>
          <w:tcPr>
            <w:tcW w:w="1843" w:type="dxa"/>
            <w:vAlign w:val="center"/>
          </w:tcPr>
          <w:p w14:paraId="5D95D97E" w14:textId="528D7CDB" w:rsidR="00481501" w:rsidRPr="00217CA0" w:rsidRDefault="00481501" w:rsidP="00481501">
            <w:pPr>
              <w:ind w:right="152"/>
              <w:jc w:val="center"/>
            </w:pPr>
            <w:r>
              <w:rPr>
                <w:color w:val="000000"/>
              </w:rPr>
              <w:t>271</w:t>
            </w:r>
          </w:p>
        </w:tc>
      </w:tr>
      <w:tr w:rsidR="00481501" w:rsidRPr="00217CA0" w14:paraId="557524E9" w14:textId="77777777" w:rsidTr="00676548">
        <w:trPr>
          <w:trHeight w:val="417"/>
        </w:trPr>
        <w:tc>
          <w:tcPr>
            <w:tcW w:w="675" w:type="dxa"/>
          </w:tcPr>
          <w:p w14:paraId="30159404" w14:textId="77777777" w:rsidR="00481501" w:rsidRPr="00217CA0" w:rsidRDefault="00481501" w:rsidP="00481501">
            <w:pPr>
              <w:rPr>
                <w:rFonts w:eastAsia="Times New Roman"/>
                <w:b/>
                <w:bCs/>
                <w:szCs w:val="24"/>
                <w:lang w:eastAsia="en-GB"/>
              </w:rPr>
            </w:pPr>
            <w:r w:rsidRPr="00217CA0">
              <w:rPr>
                <w:rFonts w:eastAsia="Times New Roman"/>
                <w:b/>
                <w:bCs/>
                <w:szCs w:val="24"/>
                <w:lang w:eastAsia="en-GB"/>
              </w:rPr>
              <w:t>F</w:t>
            </w:r>
          </w:p>
        </w:tc>
        <w:tc>
          <w:tcPr>
            <w:tcW w:w="8534" w:type="dxa"/>
          </w:tcPr>
          <w:p w14:paraId="46DC2FA6" w14:textId="77777777" w:rsidR="00481501" w:rsidRPr="00217CA0" w:rsidRDefault="00481501" w:rsidP="00481501">
            <w:pPr>
              <w:jc w:val="both"/>
            </w:pPr>
            <w:r w:rsidRPr="00217CA0">
              <w:t>5-year housing supply requirement (E x 5)</w:t>
            </w:r>
          </w:p>
        </w:tc>
        <w:tc>
          <w:tcPr>
            <w:tcW w:w="1843" w:type="dxa"/>
            <w:vAlign w:val="center"/>
          </w:tcPr>
          <w:p w14:paraId="081CD71D" w14:textId="18FBAF88" w:rsidR="00481501" w:rsidRPr="00217CA0" w:rsidRDefault="00481501" w:rsidP="00481501">
            <w:pPr>
              <w:ind w:right="152"/>
              <w:jc w:val="center"/>
              <w:rPr>
                <w:rFonts w:eastAsia="Times New Roman"/>
                <w:szCs w:val="24"/>
                <w:lang w:eastAsia="en-GB"/>
              </w:rPr>
            </w:pPr>
            <w:r>
              <w:rPr>
                <w:color w:val="000000"/>
              </w:rPr>
              <w:t>1355</w:t>
            </w:r>
          </w:p>
        </w:tc>
      </w:tr>
      <w:tr w:rsidR="00481501" w:rsidRPr="00217CA0" w14:paraId="77F3CED0" w14:textId="77777777" w:rsidTr="00676548">
        <w:trPr>
          <w:trHeight w:val="417"/>
        </w:trPr>
        <w:tc>
          <w:tcPr>
            <w:tcW w:w="675" w:type="dxa"/>
          </w:tcPr>
          <w:p w14:paraId="0A15F363" w14:textId="77777777" w:rsidR="00481501" w:rsidRPr="00217CA0" w:rsidRDefault="00481501" w:rsidP="00481501">
            <w:pPr>
              <w:rPr>
                <w:rFonts w:eastAsia="Times New Roman"/>
                <w:b/>
                <w:bCs/>
                <w:szCs w:val="24"/>
                <w:lang w:eastAsia="en-GB"/>
              </w:rPr>
            </w:pPr>
            <w:r w:rsidRPr="00217CA0">
              <w:rPr>
                <w:rFonts w:eastAsia="Times New Roman"/>
                <w:b/>
                <w:bCs/>
                <w:szCs w:val="24"/>
                <w:lang w:eastAsia="en-GB"/>
              </w:rPr>
              <w:t>G</w:t>
            </w:r>
          </w:p>
        </w:tc>
        <w:tc>
          <w:tcPr>
            <w:tcW w:w="8534" w:type="dxa"/>
          </w:tcPr>
          <w:p w14:paraId="0726D04B" w14:textId="77777777" w:rsidR="00481501" w:rsidRPr="00217CA0" w:rsidRDefault="00481501" w:rsidP="00481501">
            <w:pPr>
              <w:jc w:val="both"/>
            </w:pPr>
            <w:r w:rsidRPr="00217CA0">
              <w:t>5% buffer to add to the 5-year housing supply (F x 0.05)</w:t>
            </w:r>
          </w:p>
        </w:tc>
        <w:tc>
          <w:tcPr>
            <w:tcW w:w="1843" w:type="dxa"/>
            <w:vAlign w:val="center"/>
          </w:tcPr>
          <w:p w14:paraId="771190FA" w14:textId="0A89C34F" w:rsidR="00481501" w:rsidRPr="00217CA0" w:rsidRDefault="00481501" w:rsidP="00481501">
            <w:pPr>
              <w:ind w:right="152"/>
              <w:jc w:val="center"/>
              <w:rPr>
                <w:rFonts w:eastAsia="Times New Roman"/>
                <w:szCs w:val="24"/>
                <w:lang w:eastAsia="en-GB"/>
              </w:rPr>
            </w:pPr>
            <w:r>
              <w:rPr>
                <w:color w:val="000000"/>
              </w:rPr>
              <w:t>68</w:t>
            </w:r>
          </w:p>
        </w:tc>
      </w:tr>
      <w:tr w:rsidR="00481501" w:rsidRPr="00217CA0" w14:paraId="3A176D11" w14:textId="77777777" w:rsidTr="00676548">
        <w:trPr>
          <w:trHeight w:val="417"/>
        </w:trPr>
        <w:tc>
          <w:tcPr>
            <w:tcW w:w="675" w:type="dxa"/>
          </w:tcPr>
          <w:p w14:paraId="5F51F57A" w14:textId="77777777" w:rsidR="00481501" w:rsidRPr="00217CA0" w:rsidRDefault="00481501" w:rsidP="00481501">
            <w:pPr>
              <w:rPr>
                <w:rFonts w:eastAsia="Times New Roman"/>
                <w:b/>
                <w:bCs/>
                <w:szCs w:val="24"/>
                <w:lang w:eastAsia="en-GB"/>
              </w:rPr>
            </w:pPr>
            <w:r w:rsidRPr="00217CA0">
              <w:rPr>
                <w:rFonts w:eastAsia="Times New Roman"/>
                <w:b/>
                <w:bCs/>
                <w:szCs w:val="24"/>
                <w:lang w:eastAsia="en-GB"/>
              </w:rPr>
              <w:t>H</w:t>
            </w:r>
          </w:p>
        </w:tc>
        <w:tc>
          <w:tcPr>
            <w:tcW w:w="8534" w:type="dxa"/>
          </w:tcPr>
          <w:p w14:paraId="66432328" w14:textId="77777777" w:rsidR="00481501" w:rsidRPr="00217CA0" w:rsidRDefault="00481501" w:rsidP="00481501">
            <w:pPr>
              <w:jc w:val="both"/>
            </w:pPr>
            <w:r w:rsidRPr="00217CA0">
              <w:t>5-year housing supply requirement with 5% buffer (F + G)</w:t>
            </w:r>
          </w:p>
        </w:tc>
        <w:tc>
          <w:tcPr>
            <w:tcW w:w="1843" w:type="dxa"/>
            <w:vAlign w:val="center"/>
          </w:tcPr>
          <w:p w14:paraId="38A8AD91" w14:textId="62166B70" w:rsidR="00481501" w:rsidRPr="00217CA0" w:rsidRDefault="00481501" w:rsidP="00481501">
            <w:pPr>
              <w:ind w:right="152"/>
              <w:jc w:val="center"/>
              <w:rPr>
                <w:rFonts w:eastAsia="Times New Roman"/>
                <w:szCs w:val="24"/>
                <w:lang w:eastAsia="en-GB"/>
              </w:rPr>
            </w:pPr>
            <w:r>
              <w:rPr>
                <w:color w:val="000000"/>
              </w:rPr>
              <w:t>1423</w:t>
            </w:r>
          </w:p>
        </w:tc>
      </w:tr>
      <w:tr w:rsidR="00481501" w:rsidRPr="00217CA0" w14:paraId="253FC767" w14:textId="77777777" w:rsidTr="00676548">
        <w:trPr>
          <w:trHeight w:val="417"/>
        </w:trPr>
        <w:tc>
          <w:tcPr>
            <w:tcW w:w="675" w:type="dxa"/>
          </w:tcPr>
          <w:p w14:paraId="2FBFF367" w14:textId="77777777" w:rsidR="00481501" w:rsidRPr="00217CA0" w:rsidRDefault="00481501" w:rsidP="00481501">
            <w:pPr>
              <w:rPr>
                <w:rFonts w:eastAsia="Times New Roman"/>
                <w:b/>
                <w:bCs/>
                <w:szCs w:val="24"/>
                <w:lang w:eastAsia="en-GB"/>
              </w:rPr>
            </w:pPr>
            <w:r w:rsidRPr="00217CA0">
              <w:rPr>
                <w:rFonts w:eastAsia="Times New Roman"/>
                <w:b/>
                <w:bCs/>
                <w:szCs w:val="24"/>
                <w:lang w:eastAsia="en-GB"/>
              </w:rPr>
              <w:t>I</w:t>
            </w:r>
          </w:p>
        </w:tc>
        <w:tc>
          <w:tcPr>
            <w:tcW w:w="8534" w:type="dxa"/>
          </w:tcPr>
          <w:p w14:paraId="71E9822B" w14:textId="77777777" w:rsidR="00481501" w:rsidRPr="00217CA0" w:rsidRDefault="00481501" w:rsidP="00481501">
            <w:r w:rsidRPr="00217CA0">
              <w:t xml:space="preserve">Number of dwellings predicted to be completed in </w:t>
            </w:r>
            <w:proofErr w:type="gramStart"/>
            <w:r w:rsidRPr="00217CA0">
              <w:t>5 year</w:t>
            </w:r>
            <w:proofErr w:type="gramEnd"/>
            <w:r w:rsidRPr="00217CA0">
              <w:t xml:space="preserve"> period 2023 / 24 to 2027 / 28</w:t>
            </w:r>
          </w:p>
        </w:tc>
        <w:tc>
          <w:tcPr>
            <w:tcW w:w="1843" w:type="dxa"/>
            <w:vAlign w:val="center"/>
          </w:tcPr>
          <w:p w14:paraId="26339DF7" w14:textId="11249B4E" w:rsidR="00481501" w:rsidRPr="00217CA0" w:rsidRDefault="00481501" w:rsidP="00481501">
            <w:pPr>
              <w:ind w:right="152"/>
              <w:jc w:val="center"/>
              <w:rPr>
                <w:rFonts w:eastAsia="Times New Roman"/>
                <w:szCs w:val="24"/>
                <w:lang w:eastAsia="en-GB"/>
              </w:rPr>
            </w:pPr>
            <w:r>
              <w:rPr>
                <w:color w:val="000000"/>
              </w:rPr>
              <w:t>312</w:t>
            </w:r>
          </w:p>
        </w:tc>
      </w:tr>
      <w:tr w:rsidR="00481501" w:rsidRPr="00217CA0" w14:paraId="45265064" w14:textId="77777777" w:rsidTr="00676548">
        <w:trPr>
          <w:trHeight w:val="417"/>
        </w:trPr>
        <w:tc>
          <w:tcPr>
            <w:tcW w:w="675" w:type="dxa"/>
          </w:tcPr>
          <w:p w14:paraId="1AD17683" w14:textId="77777777" w:rsidR="00481501" w:rsidRPr="00217CA0" w:rsidRDefault="00481501" w:rsidP="00481501">
            <w:pPr>
              <w:rPr>
                <w:rFonts w:eastAsia="Times New Roman"/>
                <w:b/>
                <w:bCs/>
                <w:szCs w:val="24"/>
                <w:lang w:eastAsia="en-GB"/>
              </w:rPr>
            </w:pPr>
            <w:r w:rsidRPr="00217CA0">
              <w:rPr>
                <w:rFonts w:eastAsia="Times New Roman"/>
                <w:b/>
                <w:bCs/>
                <w:szCs w:val="24"/>
                <w:lang w:eastAsia="en-GB"/>
              </w:rPr>
              <w:t>J</w:t>
            </w:r>
          </w:p>
        </w:tc>
        <w:tc>
          <w:tcPr>
            <w:tcW w:w="8534" w:type="dxa"/>
          </w:tcPr>
          <w:p w14:paraId="70BC4CFD" w14:textId="77777777" w:rsidR="00481501" w:rsidRPr="00217CA0" w:rsidRDefault="00481501" w:rsidP="00481501">
            <w:pPr>
              <w:jc w:val="both"/>
            </w:pPr>
            <w:r w:rsidRPr="00217CA0">
              <w:t>Number of years of housing supply (I ÷ H x 5)</w:t>
            </w:r>
          </w:p>
        </w:tc>
        <w:tc>
          <w:tcPr>
            <w:tcW w:w="1843" w:type="dxa"/>
            <w:vAlign w:val="center"/>
          </w:tcPr>
          <w:p w14:paraId="02E2781B" w14:textId="34763542" w:rsidR="00481501" w:rsidRPr="00217CA0" w:rsidRDefault="00481501" w:rsidP="00481501">
            <w:pPr>
              <w:ind w:right="152"/>
              <w:jc w:val="center"/>
              <w:rPr>
                <w:rFonts w:eastAsia="Times New Roman"/>
                <w:szCs w:val="24"/>
                <w:lang w:eastAsia="en-GB"/>
              </w:rPr>
            </w:pPr>
            <w:r>
              <w:rPr>
                <w:color w:val="000000"/>
              </w:rPr>
              <w:t>1</w:t>
            </w:r>
          </w:p>
        </w:tc>
      </w:tr>
    </w:tbl>
    <w:p w14:paraId="554E9DAB" w14:textId="77777777" w:rsidR="00011D29" w:rsidRPr="00FA16B2" w:rsidRDefault="00011D29" w:rsidP="00AE6524">
      <w:pPr>
        <w:rPr>
          <w:rStyle w:val="BookTitle"/>
          <w:b w:val="0"/>
          <w:bCs w:val="0"/>
          <w:i w:val="0"/>
          <w:iCs w:val="0"/>
          <w:spacing w:val="0"/>
        </w:rPr>
      </w:pPr>
    </w:p>
    <w:sectPr w:rsidR="00011D29" w:rsidRPr="00FA16B2" w:rsidSect="00011D29">
      <w:pgSz w:w="16838" w:h="11906" w:orient="landscape"/>
      <w:pgMar w:top="1440" w:right="1440" w:bottom="156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CA03" w14:textId="77777777" w:rsidR="005D7CF7" w:rsidRDefault="005D7CF7">
      <w:r>
        <w:separator/>
      </w:r>
    </w:p>
  </w:endnote>
  <w:endnote w:type="continuationSeparator" w:id="0">
    <w:p w14:paraId="10E874D0" w14:textId="77777777" w:rsidR="005D7CF7" w:rsidRDefault="005D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Cn">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908828"/>
      <w:docPartObj>
        <w:docPartGallery w:val="Page Numbers (Bottom of Page)"/>
        <w:docPartUnique/>
      </w:docPartObj>
    </w:sdtPr>
    <w:sdtEndPr>
      <w:rPr>
        <w:noProof/>
      </w:rPr>
    </w:sdtEndPr>
    <w:sdtContent>
      <w:p w14:paraId="013BD98D" w14:textId="77777777" w:rsidR="00011D29" w:rsidRDefault="00011D2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015AA4C" w14:textId="77777777" w:rsidR="00011D29" w:rsidRDefault="00011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FC45" w14:textId="77777777" w:rsidR="005D7CF7" w:rsidRDefault="005D7CF7">
      <w:r>
        <w:separator/>
      </w:r>
    </w:p>
  </w:footnote>
  <w:footnote w:type="continuationSeparator" w:id="0">
    <w:p w14:paraId="0065180F" w14:textId="77777777" w:rsidR="005D7CF7" w:rsidRDefault="005D7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2DC05E6"/>
    <w:name w:val="WW8Num1"/>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8"/>
    <w:multiLevelType w:val="multilevel"/>
    <w:tmpl w:val="D870F604"/>
    <w:name w:val="WW8Num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1D"/>
    <w:multiLevelType w:val="multilevel"/>
    <w:tmpl w:val="0000001D"/>
    <w:name w:val="WW8Num29"/>
    <w:lvl w:ilvl="0">
      <w:start w:val="1"/>
      <w:numFmt w:val="decimal"/>
      <w:lvlText w:val="%1."/>
      <w:lvlJc w:val="left"/>
      <w:pPr>
        <w:tabs>
          <w:tab w:val="num" w:pos="1080"/>
        </w:tabs>
        <w:ind w:left="1080" w:hanging="72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2790B83"/>
    <w:multiLevelType w:val="hybridMultilevel"/>
    <w:tmpl w:val="D3EA5F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AF6BA6"/>
    <w:multiLevelType w:val="multilevel"/>
    <w:tmpl w:val="FE2EBBC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ACD7DD5"/>
    <w:multiLevelType w:val="hybridMultilevel"/>
    <w:tmpl w:val="30EAEDE2"/>
    <w:lvl w:ilvl="0" w:tplc="9A5AE3EA">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143A1B78"/>
    <w:multiLevelType w:val="hybridMultilevel"/>
    <w:tmpl w:val="FA66C796"/>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DA21039"/>
    <w:multiLevelType w:val="hybridMultilevel"/>
    <w:tmpl w:val="0FC08E10"/>
    <w:lvl w:ilvl="0" w:tplc="619275DA">
      <w:start w:val="1"/>
      <w:numFmt w:val="decimal"/>
      <w:lvlText w:val="4.%1"/>
      <w:lvlJc w:val="left"/>
      <w:pPr>
        <w:ind w:left="720" w:hanging="360"/>
      </w:pPr>
      <w:rPr>
        <w:rFonts w:ascii="Arial" w:hAnsi="Arial" w:cs="Arial" w:hint="default"/>
        <w:b w:val="0"/>
        <w:bCs/>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17219"/>
    <w:multiLevelType w:val="hybridMultilevel"/>
    <w:tmpl w:val="EB7CA5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2BA7D07"/>
    <w:multiLevelType w:val="hybridMultilevel"/>
    <w:tmpl w:val="9E768C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1C02AF"/>
    <w:multiLevelType w:val="multilevel"/>
    <w:tmpl w:val="3514A95C"/>
    <w:lvl w:ilvl="0">
      <w:start w:val="5"/>
      <w:numFmt w:val="decimal"/>
      <w:lvlText w:val="%1"/>
      <w:lvlJc w:val="left"/>
      <w:pPr>
        <w:ind w:left="360" w:hanging="360"/>
      </w:pPr>
      <w:rPr>
        <w:rFonts w:hint="default"/>
      </w:rPr>
    </w:lvl>
    <w:lvl w:ilvl="1">
      <w:start w:val="1"/>
      <w:numFmt w:val="decimal"/>
      <w:lvlText w:val="%1.%2"/>
      <w:lvlJc w:val="left"/>
      <w:pPr>
        <w:ind w:left="2487"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1831C98"/>
    <w:multiLevelType w:val="multilevel"/>
    <w:tmpl w:val="9A16CBE0"/>
    <w:lvl w:ilvl="0">
      <w:start w:val="3"/>
      <w:numFmt w:val="decimal"/>
      <w:lvlText w:val="%1"/>
      <w:lvlJc w:val="left"/>
      <w:pPr>
        <w:ind w:hanging="708"/>
      </w:pPr>
      <w:rPr>
        <w:rFonts w:ascii="Arial" w:eastAsia="Arial" w:hAnsi="Arial" w:hint="default"/>
        <w:b/>
        <w:bCs/>
        <w:sz w:val="28"/>
        <w:szCs w:val="28"/>
      </w:rPr>
    </w:lvl>
    <w:lvl w:ilvl="1">
      <w:start w:val="1"/>
      <w:numFmt w:val="decimal"/>
      <w:lvlText w:val="%1.%2"/>
      <w:lvlJc w:val="left"/>
      <w:pPr>
        <w:ind w:hanging="708"/>
      </w:pPr>
      <w:rPr>
        <w:rFonts w:ascii="Arial" w:eastAsia="Arial" w:hAnsi="Arial" w:hint="default"/>
        <w:sz w:val="24"/>
        <w:szCs w:val="24"/>
      </w:rPr>
    </w:lvl>
    <w:lvl w:ilvl="2">
      <w:start w:val="1"/>
      <w:numFmt w:val="bullet"/>
      <w:lvlText w:val=""/>
      <w:lvlJc w:val="left"/>
      <w:pPr>
        <w:ind w:hanging="569"/>
      </w:pPr>
      <w:rPr>
        <w:rFonts w:ascii="Wingdings" w:eastAsia="Wingdings" w:hAnsi="Wingdings"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37974CC2"/>
    <w:multiLevelType w:val="hybridMultilevel"/>
    <w:tmpl w:val="F7809378"/>
    <w:lvl w:ilvl="0" w:tplc="516859AC">
      <w:start w:val="1"/>
      <w:numFmt w:val="decimal"/>
      <w:lvlText w:val="6.%1"/>
      <w:lvlJc w:val="left"/>
      <w:pPr>
        <w:ind w:left="720" w:hanging="360"/>
      </w:pPr>
      <w:rPr>
        <w:rFonts w:ascii="Arial" w:hAnsi="Arial" w:cs="Arial" w:hint="default"/>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0B6316"/>
    <w:multiLevelType w:val="multilevel"/>
    <w:tmpl w:val="E206B45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3C7E72"/>
    <w:multiLevelType w:val="multilevel"/>
    <w:tmpl w:val="3BD26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5110E"/>
    <w:multiLevelType w:val="multilevel"/>
    <w:tmpl w:val="E206B45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D4D399C"/>
    <w:multiLevelType w:val="multilevel"/>
    <w:tmpl w:val="AE6A919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E637EA7"/>
    <w:multiLevelType w:val="hybridMultilevel"/>
    <w:tmpl w:val="639E2CF4"/>
    <w:lvl w:ilvl="0" w:tplc="04489960">
      <w:start w:val="1"/>
      <w:numFmt w:val="lowerRoman"/>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B2A8E"/>
    <w:multiLevelType w:val="hybridMultilevel"/>
    <w:tmpl w:val="6CBA8F62"/>
    <w:lvl w:ilvl="0" w:tplc="08090005">
      <w:start w:val="1"/>
      <w:numFmt w:val="bullet"/>
      <w:lvlText w:val=""/>
      <w:lvlJc w:val="left"/>
      <w:pPr>
        <w:ind w:left="1470" w:hanging="360"/>
      </w:pPr>
      <w:rPr>
        <w:rFonts w:ascii="Wingdings" w:hAnsi="Wingdings"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9" w15:restartNumberingAfterBreak="0">
    <w:nsid w:val="561E083A"/>
    <w:multiLevelType w:val="hybridMultilevel"/>
    <w:tmpl w:val="95DEDFAA"/>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B384222"/>
    <w:multiLevelType w:val="hybridMultilevel"/>
    <w:tmpl w:val="9650E1F2"/>
    <w:lvl w:ilvl="0" w:tplc="619275DA">
      <w:start w:val="1"/>
      <w:numFmt w:val="decimal"/>
      <w:lvlText w:val="4.%1"/>
      <w:lvlJc w:val="left"/>
      <w:pPr>
        <w:ind w:left="720" w:hanging="360"/>
      </w:pPr>
      <w:rPr>
        <w:rFonts w:ascii="Arial" w:hAnsi="Arial" w:cs="Arial" w:hint="default"/>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B80478"/>
    <w:multiLevelType w:val="multilevel"/>
    <w:tmpl w:val="E206B45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7A73DE7"/>
    <w:multiLevelType w:val="hybridMultilevel"/>
    <w:tmpl w:val="242E3D7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EE46C8F"/>
    <w:multiLevelType w:val="multilevel"/>
    <w:tmpl w:val="E206B45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F729DA"/>
    <w:multiLevelType w:val="multilevel"/>
    <w:tmpl w:val="E206B45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2602FAE"/>
    <w:multiLevelType w:val="multilevel"/>
    <w:tmpl w:val="E8827DB8"/>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55A53BA"/>
    <w:multiLevelType w:val="hybridMultilevel"/>
    <w:tmpl w:val="7A6A9FD8"/>
    <w:lvl w:ilvl="0" w:tplc="C7C8F46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376CF5"/>
    <w:multiLevelType w:val="multilevel"/>
    <w:tmpl w:val="336E563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77043589">
    <w:abstractNumId w:val="2"/>
  </w:num>
  <w:num w:numId="2" w16cid:durableId="793138310">
    <w:abstractNumId w:val="26"/>
  </w:num>
  <w:num w:numId="3" w16cid:durableId="1803496261">
    <w:abstractNumId w:val="1"/>
  </w:num>
  <w:num w:numId="4" w16cid:durableId="982393574">
    <w:abstractNumId w:val="0"/>
  </w:num>
  <w:num w:numId="5" w16cid:durableId="2094356298">
    <w:abstractNumId w:val="4"/>
  </w:num>
  <w:num w:numId="6" w16cid:durableId="1760635918">
    <w:abstractNumId w:val="18"/>
  </w:num>
  <w:num w:numId="7" w16cid:durableId="1303970891">
    <w:abstractNumId w:val="19"/>
  </w:num>
  <w:num w:numId="8" w16cid:durableId="1729307009">
    <w:abstractNumId w:val="8"/>
  </w:num>
  <w:num w:numId="9" w16cid:durableId="272327610">
    <w:abstractNumId w:val="7"/>
  </w:num>
  <w:num w:numId="10" w16cid:durableId="494688143">
    <w:abstractNumId w:val="10"/>
  </w:num>
  <w:num w:numId="11" w16cid:durableId="1595623240">
    <w:abstractNumId w:val="27"/>
  </w:num>
  <w:num w:numId="12" w16cid:durableId="1776561133">
    <w:abstractNumId w:val="16"/>
  </w:num>
  <w:num w:numId="13" w16cid:durableId="1630476377">
    <w:abstractNumId w:val="17"/>
  </w:num>
  <w:num w:numId="14" w16cid:durableId="1026491709">
    <w:abstractNumId w:val="5"/>
  </w:num>
  <w:num w:numId="15" w16cid:durableId="663239090">
    <w:abstractNumId w:val="9"/>
  </w:num>
  <w:num w:numId="16" w16cid:durableId="492062702">
    <w:abstractNumId w:val="25"/>
  </w:num>
  <w:num w:numId="17" w16cid:durableId="712534405">
    <w:abstractNumId w:val="11"/>
  </w:num>
  <w:num w:numId="18" w16cid:durableId="1656106573">
    <w:abstractNumId w:val="22"/>
  </w:num>
  <w:num w:numId="19" w16cid:durableId="1832795509">
    <w:abstractNumId w:val="3"/>
  </w:num>
  <w:num w:numId="20" w16cid:durableId="1922374285">
    <w:abstractNumId w:val="21"/>
  </w:num>
  <w:num w:numId="21" w16cid:durableId="1488933111">
    <w:abstractNumId w:val="13"/>
  </w:num>
  <w:num w:numId="22" w16cid:durableId="1423379402">
    <w:abstractNumId w:val="24"/>
  </w:num>
  <w:num w:numId="23" w16cid:durableId="1679888299">
    <w:abstractNumId w:val="15"/>
  </w:num>
  <w:num w:numId="24" w16cid:durableId="1333534182">
    <w:abstractNumId w:val="23"/>
  </w:num>
  <w:num w:numId="25" w16cid:durableId="739404234">
    <w:abstractNumId w:val="14"/>
  </w:num>
  <w:num w:numId="26" w16cid:durableId="1116867944">
    <w:abstractNumId w:val="20"/>
  </w:num>
  <w:num w:numId="27" w16cid:durableId="1943567562">
    <w:abstractNumId w:val="12"/>
  </w:num>
  <w:num w:numId="28" w16cid:durableId="1466240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29"/>
    <w:rsid w:val="000020BD"/>
    <w:rsid w:val="00004A35"/>
    <w:rsid w:val="00006B13"/>
    <w:rsid w:val="00011D29"/>
    <w:rsid w:val="00011EC5"/>
    <w:rsid w:val="00012926"/>
    <w:rsid w:val="0001310B"/>
    <w:rsid w:val="000133C5"/>
    <w:rsid w:val="000145C9"/>
    <w:rsid w:val="00014C4F"/>
    <w:rsid w:val="00014EE4"/>
    <w:rsid w:val="00016BD6"/>
    <w:rsid w:val="00017A14"/>
    <w:rsid w:val="00017DA6"/>
    <w:rsid w:val="000204A9"/>
    <w:rsid w:val="000264EC"/>
    <w:rsid w:val="000317B7"/>
    <w:rsid w:val="00041190"/>
    <w:rsid w:val="00041727"/>
    <w:rsid w:val="00044F3E"/>
    <w:rsid w:val="000619EF"/>
    <w:rsid w:val="0006340E"/>
    <w:rsid w:val="00063759"/>
    <w:rsid w:val="00066021"/>
    <w:rsid w:val="000731D9"/>
    <w:rsid w:val="00073647"/>
    <w:rsid w:val="00076326"/>
    <w:rsid w:val="00077634"/>
    <w:rsid w:val="00077F22"/>
    <w:rsid w:val="000871D2"/>
    <w:rsid w:val="00091CCC"/>
    <w:rsid w:val="000A003D"/>
    <w:rsid w:val="000A42F8"/>
    <w:rsid w:val="000A751C"/>
    <w:rsid w:val="000A7C74"/>
    <w:rsid w:val="000B0170"/>
    <w:rsid w:val="000B0287"/>
    <w:rsid w:val="000B264F"/>
    <w:rsid w:val="000B4FC1"/>
    <w:rsid w:val="000B6993"/>
    <w:rsid w:val="000C6A5C"/>
    <w:rsid w:val="000D1552"/>
    <w:rsid w:val="000D202C"/>
    <w:rsid w:val="000D4869"/>
    <w:rsid w:val="000D4D24"/>
    <w:rsid w:val="000E34A0"/>
    <w:rsid w:val="000F304F"/>
    <w:rsid w:val="000F7A41"/>
    <w:rsid w:val="00104035"/>
    <w:rsid w:val="00112A9C"/>
    <w:rsid w:val="00112DC3"/>
    <w:rsid w:val="00112FF1"/>
    <w:rsid w:val="0011489D"/>
    <w:rsid w:val="00127CD7"/>
    <w:rsid w:val="00140048"/>
    <w:rsid w:val="00140443"/>
    <w:rsid w:val="001474C1"/>
    <w:rsid w:val="00152829"/>
    <w:rsid w:val="00154A6F"/>
    <w:rsid w:val="001561D4"/>
    <w:rsid w:val="00164FD3"/>
    <w:rsid w:val="00172D94"/>
    <w:rsid w:val="00180936"/>
    <w:rsid w:val="0018096E"/>
    <w:rsid w:val="00182B82"/>
    <w:rsid w:val="001841AA"/>
    <w:rsid w:val="00184995"/>
    <w:rsid w:val="00190334"/>
    <w:rsid w:val="00190448"/>
    <w:rsid w:val="001915F2"/>
    <w:rsid w:val="001A01B8"/>
    <w:rsid w:val="001A763E"/>
    <w:rsid w:val="001B1078"/>
    <w:rsid w:val="001B1185"/>
    <w:rsid w:val="001B1818"/>
    <w:rsid w:val="001B3D9B"/>
    <w:rsid w:val="001B5EF5"/>
    <w:rsid w:val="001C1A33"/>
    <w:rsid w:val="001C1E80"/>
    <w:rsid w:val="001D12C3"/>
    <w:rsid w:val="001D182D"/>
    <w:rsid w:val="001D1A56"/>
    <w:rsid w:val="001D2DBA"/>
    <w:rsid w:val="001D6E8F"/>
    <w:rsid w:val="001D7BC7"/>
    <w:rsid w:val="001E0E84"/>
    <w:rsid w:val="001E173C"/>
    <w:rsid w:val="001E322C"/>
    <w:rsid w:val="001E6CFE"/>
    <w:rsid w:val="001F43BB"/>
    <w:rsid w:val="001F49F7"/>
    <w:rsid w:val="001F59FC"/>
    <w:rsid w:val="001F6C93"/>
    <w:rsid w:val="00201EC8"/>
    <w:rsid w:val="00203890"/>
    <w:rsid w:val="00205733"/>
    <w:rsid w:val="00205890"/>
    <w:rsid w:val="00212BD2"/>
    <w:rsid w:val="00214878"/>
    <w:rsid w:val="0021550A"/>
    <w:rsid w:val="002269D1"/>
    <w:rsid w:val="002405FD"/>
    <w:rsid w:val="002408C2"/>
    <w:rsid w:val="00240D47"/>
    <w:rsid w:val="002429D1"/>
    <w:rsid w:val="00243802"/>
    <w:rsid w:val="00243D3C"/>
    <w:rsid w:val="00264E01"/>
    <w:rsid w:val="0026539F"/>
    <w:rsid w:val="00271754"/>
    <w:rsid w:val="002738DA"/>
    <w:rsid w:val="00276B9A"/>
    <w:rsid w:val="00280F42"/>
    <w:rsid w:val="00282406"/>
    <w:rsid w:val="0029038F"/>
    <w:rsid w:val="00290CBB"/>
    <w:rsid w:val="00291782"/>
    <w:rsid w:val="0029246F"/>
    <w:rsid w:val="0029349E"/>
    <w:rsid w:val="00293F14"/>
    <w:rsid w:val="002A04FC"/>
    <w:rsid w:val="002A347B"/>
    <w:rsid w:val="002A60E4"/>
    <w:rsid w:val="002A619F"/>
    <w:rsid w:val="002A62AA"/>
    <w:rsid w:val="002A66D6"/>
    <w:rsid w:val="002B3244"/>
    <w:rsid w:val="002C185B"/>
    <w:rsid w:val="002D222F"/>
    <w:rsid w:val="002D29E8"/>
    <w:rsid w:val="002E04C0"/>
    <w:rsid w:val="002E3F59"/>
    <w:rsid w:val="002E40E4"/>
    <w:rsid w:val="002E5192"/>
    <w:rsid w:val="002F0BB0"/>
    <w:rsid w:val="002F56B8"/>
    <w:rsid w:val="002F6A08"/>
    <w:rsid w:val="002F7D45"/>
    <w:rsid w:val="00307ECB"/>
    <w:rsid w:val="003127A9"/>
    <w:rsid w:val="00314E32"/>
    <w:rsid w:val="003172F8"/>
    <w:rsid w:val="003226D4"/>
    <w:rsid w:val="0032560D"/>
    <w:rsid w:val="00325D2A"/>
    <w:rsid w:val="00332A24"/>
    <w:rsid w:val="00337903"/>
    <w:rsid w:val="0034059C"/>
    <w:rsid w:val="0034228D"/>
    <w:rsid w:val="00346D19"/>
    <w:rsid w:val="00351663"/>
    <w:rsid w:val="003524DE"/>
    <w:rsid w:val="0035360C"/>
    <w:rsid w:val="00354FCD"/>
    <w:rsid w:val="00363E05"/>
    <w:rsid w:val="003658F4"/>
    <w:rsid w:val="00374EED"/>
    <w:rsid w:val="003757DE"/>
    <w:rsid w:val="0038080F"/>
    <w:rsid w:val="003820D5"/>
    <w:rsid w:val="00382F6E"/>
    <w:rsid w:val="00385199"/>
    <w:rsid w:val="00387FAB"/>
    <w:rsid w:val="0039395D"/>
    <w:rsid w:val="003A3AF8"/>
    <w:rsid w:val="003B19BC"/>
    <w:rsid w:val="003B3E20"/>
    <w:rsid w:val="003C0847"/>
    <w:rsid w:val="003C1E2F"/>
    <w:rsid w:val="003C5DDF"/>
    <w:rsid w:val="003C6F00"/>
    <w:rsid w:val="003C7523"/>
    <w:rsid w:val="003D4F8D"/>
    <w:rsid w:val="003D50BC"/>
    <w:rsid w:val="003D5828"/>
    <w:rsid w:val="003D5ABA"/>
    <w:rsid w:val="003D74B7"/>
    <w:rsid w:val="003D7A96"/>
    <w:rsid w:val="003D7B0A"/>
    <w:rsid w:val="003E15EF"/>
    <w:rsid w:val="003E1EAC"/>
    <w:rsid w:val="003E2690"/>
    <w:rsid w:val="003E680B"/>
    <w:rsid w:val="003E7B8D"/>
    <w:rsid w:val="003F40C4"/>
    <w:rsid w:val="003F5E4C"/>
    <w:rsid w:val="003F6B50"/>
    <w:rsid w:val="004006D2"/>
    <w:rsid w:val="00404317"/>
    <w:rsid w:val="00404DE7"/>
    <w:rsid w:val="0041078C"/>
    <w:rsid w:val="00411878"/>
    <w:rsid w:val="00412209"/>
    <w:rsid w:val="004339D1"/>
    <w:rsid w:val="00440308"/>
    <w:rsid w:val="0044142D"/>
    <w:rsid w:val="00446325"/>
    <w:rsid w:val="004527E6"/>
    <w:rsid w:val="00453522"/>
    <w:rsid w:val="004553FB"/>
    <w:rsid w:val="004576EC"/>
    <w:rsid w:val="00464BCE"/>
    <w:rsid w:val="0046602B"/>
    <w:rsid w:val="004766DC"/>
    <w:rsid w:val="004770C3"/>
    <w:rsid w:val="00481501"/>
    <w:rsid w:val="00485492"/>
    <w:rsid w:val="004861DC"/>
    <w:rsid w:val="00486549"/>
    <w:rsid w:val="00486969"/>
    <w:rsid w:val="004874FD"/>
    <w:rsid w:val="0049007F"/>
    <w:rsid w:val="00492FCD"/>
    <w:rsid w:val="00494DB7"/>
    <w:rsid w:val="004974A5"/>
    <w:rsid w:val="004A14AA"/>
    <w:rsid w:val="004B008C"/>
    <w:rsid w:val="004B26E7"/>
    <w:rsid w:val="004B39D0"/>
    <w:rsid w:val="004B3E6B"/>
    <w:rsid w:val="004B467B"/>
    <w:rsid w:val="004B5802"/>
    <w:rsid w:val="004B6A4F"/>
    <w:rsid w:val="004B7853"/>
    <w:rsid w:val="004C0134"/>
    <w:rsid w:val="004C4860"/>
    <w:rsid w:val="004C544D"/>
    <w:rsid w:val="004D0397"/>
    <w:rsid w:val="004D1B90"/>
    <w:rsid w:val="004D1E23"/>
    <w:rsid w:val="004D262E"/>
    <w:rsid w:val="004D4E66"/>
    <w:rsid w:val="004E509C"/>
    <w:rsid w:val="004E5C91"/>
    <w:rsid w:val="004F32D3"/>
    <w:rsid w:val="004F637A"/>
    <w:rsid w:val="004F682F"/>
    <w:rsid w:val="004F794F"/>
    <w:rsid w:val="005003F7"/>
    <w:rsid w:val="00501035"/>
    <w:rsid w:val="0051193B"/>
    <w:rsid w:val="00511D59"/>
    <w:rsid w:val="00512629"/>
    <w:rsid w:val="00512A18"/>
    <w:rsid w:val="00513FEC"/>
    <w:rsid w:val="00514498"/>
    <w:rsid w:val="00520B19"/>
    <w:rsid w:val="005214F2"/>
    <w:rsid w:val="0052368C"/>
    <w:rsid w:val="00526A51"/>
    <w:rsid w:val="005328CA"/>
    <w:rsid w:val="00542635"/>
    <w:rsid w:val="00542847"/>
    <w:rsid w:val="00543B46"/>
    <w:rsid w:val="00544E5C"/>
    <w:rsid w:val="00545959"/>
    <w:rsid w:val="005501CC"/>
    <w:rsid w:val="005556A6"/>
    <w:rsid w:val="00571A3C"/>
    <w:rsid w:val="00573726"/>
    <w:rsid w:val="0057611C"/>
    <w:rsid w:val="0058180F"/>
    <w:rsid w:val="00581AB1"/>
    <w:rsid w:val="00581FFA"/>
    <w:rsid w:val="005835BA"/>
    <w:rsid w:val="00585E78"/>
    <w:rsid w:val="005956DB"/>
    <w:rsid w:val="00596FD1"/>
    <w:rsid w:val="0059731D"/>
    <w:rsid w:val="005A06A8"/>
    <w:rsid w:val="005A15B6"/>
    <w:rsid w:val="005A2F54"/>
    <w:rsid w:val="005A4149"/>
    <w:rsid w:val="005B18BC"/>
    <w:rsid w:val="005B2ACD"/>
    <w:rsid w:val="005B5731"/>
    <w:rsid w:val="005B7197"/>
    <w:rsid w:val="005C0475"/>
    <w:rsid w:val="005C09EA"/>
    <w:rsid w:val="005C10C7"/>
    <w:rsid w:val="005C3A31"/>
    <w:rsid w:val="005C7A03"/>
    <w:rsid w:val="005D09FF"/>
    <w:rsid w:val="005D56B5"/>
    <w:rsid w:val="005D7913"/>
    <w:rsid w:val="005D7CF7"/>
    <w:rsid w:val="005E04CC"/>
    <w:rsid w:val="005E0632"/>
    <w:rsid w:val="005F33EB"/>
    <w:rsid w:val="00602B10"/>
    <w:rsid w:val="0060797F"/>
    <w:rsid w:val="00612414"/>
    <w:rsid w:val="00612F6E"/>
    <w:rsid w:val="006166E2"/>
    <w:rsid w:val="0062605E"/>
    <w:rsid w:val="0063465A"/>
    <w:rsid w:val="00634C9B"/>
    <w:rsid w:val="006401A9"/>
    <w:rsid w:val="00645787"/>
    <w:rsid w:val="0065179F"/>
    <w:rsid w:val="00653D93"/>
    <w:rsid w:val="00657AA0"/>
    <w:rsid w:val="006603BA"/>
    <w:rsid w:val="00664F26"/>
    <w:rsid w:val="00667C5B"/>
    <w:rsid w:val="00685517"/>
    <w:rsid w:val="006871E3"/>
    <w:rsid w:val="00692771"/>
    <w:rsid w:val="00692E8E"/>
    <w:rsid w:val="00694BA6"/>
    <w:rsid w:val="006971BE"/>
    <w:rsid w:val="00697B0B"/>
    <w:rsid w:val="006A22AB"/>
    <w:rsid w:val="006A5868"/>
    <w:rsid w:val="006A5E5A"/>
    <w:rsid w:val="006A5EBC"/>
    <w:rsid w:val="006A6EB2"/>
    <w:rsid w:val="006B49CC"/>
    <w:rsid w:val="006B7BFC"/>
    <w:rsid w:val="006C3516"/>
    <w:rsid w:val="006C64CE"/>
    <w:rsid w:val="006C79E5"/>
    <w:rsid w:val="006D1935"/>
    <w:rsid w:val="006D1DC8"/>
    <w:rsid w:val="006D506C"/>
    <w:rsid w:val="006D59FD"/>
    <w:rsid w:val="006D7F8A"/>
    <w:rsid w:val="006E05F3"/>
    <w:rsid w:val="006E0E1F"/>
    <w:rsid w:val="006E209E"/>
    <w:rsid w:val="006E2827"/>
    <w:rsid w:val="006E434E"/>
    <w:rsid w:val="006F0DCD"/>
    <w:rsid w:val="006F1D89"/>
    <w:rsid w:val="006F244B"/>
    <w:rsid w:val="00700959"/>
    <w:rsid w:val="00701256"/>
    <w:rsid w:val="007021C3"/>
    <w:rsid w:val="00703810"/>
    <w:rsid w:val="007049FC"/>
    <w:rsid w:val="00711A19"/>
    <w:rsid w:val="0071358D"/>
    <w:rsid w:val="007163A4"/>
    <w:rsid w:val="00717F43"/>
    <w:rsid w:val="00722416"/>
    <w:rsid w:val="00725233"/>
    <w:rsid w:val="00725D8E"/>
    <w:rsid w:val="00727FA8"/>
    <w:rsid w:val="00731253"/>
    <w:rsid w:val="00731AA4"/>
    <w:rsid w:val="00737803"/>
    <w:rsid w:val="00737964"/>
    <w:rsid w:val="00741820"/>
    <w:rsid w:val="00747D58"/>
    <w:rsid w:val="00753693"/>
    <w:rsid w:val="007558DF"/>
    <w:rsid w:val="00764A50"/>
    <w:rsid w:val="00764B66"/>
    <w:rsid w:val="00765C93"/>
    <w:rsid w:val="00766C96"/>
    <w:rsid w:val="007740A9"/>
    <w:rsid w:val="007754E3"/>
    <w:rsid w:val="00775F3F"/>
    <w:rsid w:val="00776221"/>
    <w:rsid w:val="007805A4"/>
    <w:rsid w:val="00780AF3"/>
    <w:rsid w:val="00782AB7"/>
    <w:rsid w:val="00784C79"/>
    <w:rsid w:val="00784CB2"/>
    <w:rsid w:val="007857D3"/>
    <w:rsid w:val="00790714"/>
    <w:rsid w:val="00796F30"/>
    <w:rsid w:val="007975EF"/>
    <w:rsid w:val="007A436E"/>
    <w:rsid w:val="007B0969"/>
    <w:rsid w:val="007B3E5B"/>
    <w:rsid w:val="007B51F6"/>
    <w:rsid w:val="007B7296"/>
    <w:rsid w:val="007C60E7"/>
    <w:rsid w:val="007C663A"/>
    <w:rsid w:val="007C7A71"/>
    <w:rsid w:val="007D1E1D"/>
    <w:rsid w:val="007E20A4"/>
    <w:rsid w:val="007E3297"/>
    <w:rsid w:val="007E374F"/>
    <w:rsid w:val="007E40A2"/>
    <w:rsid w:val="007E5773"/>
    <w:rsid w:val="007E716D"/>
    <w:rsid w:val="007F0445"/>
    <w:rsid w:val="007F1CA0"/>
    <w:rsid w:val="007F41A8"/>
    <w:rsid w:val="007F6E9D"/>
    <w:rsid w:val="00801F41"/>
    <w:rsid w:val="008050D9"/>
    <w:rsid w:val="00812123"/>
    <w:rsid w:val="00817795"/>
    <w:rsid w:val="008217AD"/>
    <w:rsid w:val="00821D30"/>
    <w:rsid w:val="00826401"/>
    <w:rsid w:val="00830A60"/>
    <w:rsid w:val="00830D25"/>
    <w:rsid w:val="00832EF8"/>
    <w:rsid w:val="00836265"/>
    <w:rsid w:val="008420C3"/>
    <w:rsid w:val="00846458"/>
    <w:rsid w:val="00846B54"/>
    <w:rsid w:val="00854880"/>
    <w:rsid w:val="0085606D"/>
    <w:rsid w:val="00856652"/>
    <w:rsid w:val="00857370"/>
    <w:rsid w:val="00857C58"/>
    <w:rsid w:val="008673CF"/>
    <w:rsid w:val="008700E8"/>
    <w:rsid w:val="00872A1D"/>
    <w:rsid w:val="008736A9"/>
    <w:rsid w:val="00884406"/>
    <w:rsid w:val="00886BC3"/>
    <w:rsid w:val="00890056"/>
    <w:rsid w:val="008A2369"/>
    <w:rsid w:val="008A3647"/>
    <w:rsid w:val="008A4DA5"/>
    <w:rsid w:val="008B2C98"/>
    <w:rsid w:val="008B5A5D"/>
    <w:rsid w:val="008B7667"/>
    <w:rsid w:val="008C00E3"/>
    <w:rsid w:val="008C2240"/>
    <w:rsid w:val="008C29A0"/>
    <w:rsid w:val="008C2E56"/>
    <w:rsid w:val="008C6C0C"/>
    <w:rsid w:val="008D02DF"/>
    <w:rsid w:val="008D25BB"/>
    <w:rsid w:val="008D5E33"/>
    <w:rsid w:val="008E655B"/>
    <w:rsid w:val="008F4ED5"/>
    <w:rsid w:val="008F5040"/>
    <w:rsid w:val="008F6BD2"/>
    <w:rsid w:val="009005D2"/>
    <w:rsid w:val="00900A76"/>
    <w:rsid w:val="009013D1"/>
    <w:rsid w:val="00902DE8"/>
    <w:rsid w:val="00903807"/>
    <w:rsid w:val="00904D35"/>
    <w:rsid w:val="00907F38"/>
    <w:rsid w:val="0091041F"/>
    <w:rsid w:val="00913557"/>
    <w:rsid w:val="00915B98"/>
    <w:rsid w:val="00920879"/>
    <w:rsid w:val="00925B9F"/>
    <w:rsid w:val="00927F28"/>
    <w:rsid w:val="009307B1"/>
    <w:rsid w:val="00934A26"/>
    <w:rsid w:val="009361A6"/>
    <w:rsid w:val="00942ADB"/>
    <w:rsid w:val="0095682D"/>
    <w:rsid w:val="00962D44"/>
    <w:rsid w:val="009708EA"/>
    <w:rsid w:val="00972400"/>
    <w:rsid w:val="00973178"/>
    <w:rsid w:val="00974D3A"/>
    <w:rsid w:val="00977B6F"/>
    <w:rsid w:val="00995449"/>
    <w:rsid w:val="009968FA"/>
    <w:rsid w:val="009970B5"/>
    <w:rsid w:val="009A23D9"/>
    <w:rsid w:val="009B36FB"/>
    <w:rsid w:val="009B4619"/>
    <w:rsid w:val="009C2B17"/>
    <w:rsid w:val="009C3AB5"/>
    <w:rsid w:val="009C5514"/>
    <w:rsid w:val="009D2219"/>
    <w:rsid w:val="009D35D8"/>
    <w:rsid w:val="009D6ACA"/>
    <w:rsid w:val="009D6E3F"/>
    <w:rsid w:val="009E190B"/>
    <w:rsid w:val="009E1AB1"/>
    <w:rsid w:val="009E4749"/>
    <w:rsid w:val="009E79BB"/>
    <w:rsid w:val="009F62AA"/>
    <w:rsid w:val="009F653D"/>
    <w:rsid w:val="00A012C0"/>
    <w:rsid w:val="00A05DA8"/>
    <w:rsid w:val="00A149A9"/>
    <w:rsid w:val="00A20198"/>
    <w:rsid w:val="00A224DE"/>
    <w:rsid w:val="00A30941"/>
    <w:rsid w:val="00A43ADC"/>
    <w:rsid w:val="00A535E3"/>
    <w:rsid w:val="00A54216"/>
    <w:rsid w:val="00A54B25"/>
    <w:rsid w:val="00A60CA6"/>
    <w:rsid w:val="00A7738D"/>
    <w:rsid w:val="00A81B55"/>
    <w:rsid w:val="00A96FD3"/>
    <w:rsid w:val="00AA0410"/>
    <w:rsid w:val="00AA194D"/>
    <w:rsid w:val="00AA4CF0"/>
    <w:rsid w:val="00AA5347"/>
    <w:rsid w:val="00AB0C76"/>
    <w:rsid w:val="00AB43EB"/>
    <w:rsid w:val="00AB4677"/>
    <w:rsid w:val="00AB4FA1"/>
    <w:rsid w:val="00AB5381"/>
    <w:rsid w:val="00AB735F"/>
    <w:rsid w:val="00AC4161"/>
    <w:rsid w:val="00AC4D78"/>
    <w:rsid w:val="00AC7C1D"/>
    <w:rsid w:val="00AD059C"/>
    <w:rsid w:val="00AD4203"/>
    <w:rsid w:val="00AD5216"/>
    <w:rsid w:val="00AD5E74"/>
    <w:rsid w:val="00AD65D3"/>
    <w:rsid w:val="00AE1FA0"/>
    <w:rsid w:val="00AE4B24"/>
    <w:rsid w:val="00AE6524"/>
    <w:rsid w:val="00AF24E7"/>
    <w:rsid w:val="00AF49FE"/>
    <w:rsid w:val="00AF6AEE"/>
    <w:rsid w:val="00B114B7"/>
    <w:rsid w:val="00B14EF5"/>
    <w:rsid w:val="00B1658B"/>
    <w:rsid w:val="00B17487"/>
    <w:rsid w:val="00B20602"/>
    <w:rsid w:val="00B276BB"/>
    <w:rsid w:val="00B303CD"/>
    <w:rsid w:val="00B46253"/>
    <w:rsid w:val="00B53D71"/>
    <w:rsid w:val="00B578B9"/>
    <w:rsid w:val="00B64653"/>
    <w:rsid w:val="00B64B34"/>
    <w:rsid w:val="00B671BE"/>
    <w:rsid w:val="00B71FE5"/>
    <w:rsid w:val="00B77CA5"/>
    <w:rsid w:val="00B92606"/>
    <w:rsid w:val="00B931D7"/>
    <w:rsid w:val="00BA062E"/>
    <w:rsid w:val="00BC57C3"/>
    <w:rsid w:val="00BD5FF8"/>
    <w:rsid w:val="00BD640D"/>
    <w:rsid w:val="00BE62F9"/>
    <w:rsid w:val="00BE7D10"/>
    <w:rsid w:val="00BF3CCE"/>
    <w:rsid w:val="00BF7B8F"/>
    <w:rsid w:val="00C0401D"/>
    <w:rsid w:val="00C1329C"/>
    <w:rsid w:val="00C156C3"/>
    <w:rsid w:val="00C243DA"/>
    <w:rsid w:val="00C33D7F"/>
    <w:rsid w:val="00C37B38"/>
    <w:rsid w:val="00C50823"/>
    <w:rsid w:val="00C547D7"/>
    <w:rsid w:val="00C55520"/>
    <w:rsid w:val="00C644C0"/>
    <w:rsid w:val="00C65DCD"/>
    <w:rsid w:val="00C70518"/>
    <w:rsid w:val="00C7638E"/>
    <w:rsid w:val="00C80E63"/>
    <w:rsid w:val="00C82E4F"/>
    <w:rsid w:val="00C91CAB"/>
    <w:rsid w:val="00CA020D"/>
    <w:rsid w:val="00CA0609"/>
    <w:rsid w:val="00CA0CB4"/>
    <w:rsid w:val="00CA516F"/>
    <w:rsid w:val="00CA520A"/>
    <w:rsid w:val="00CA594C"/>
    <w:rsid w:val="00CA6C18"/>
    <w:rsid w:val="00CB06C6"/>
    <w:rsid w:val="00CC1B4F"/>
    <w:rsid w:val="00CC54B6"/>
    <w:rsid w:val="00CD3B0D"/>
    <w:rsid w:val="00CE0F35"/>
    <w:rsid w:val="00CE3889"/>
    <w:rsid w:val="00CE52B4"/>
    <w:rsid w:val="00CE54AE"/>
    <w:rsid w:val="00CF404F"/>
    <w:rsid w:val="00CF418C"/>
    <w:rsid w:val="00CF7472"/>
    <w:rsid w:val="00D02047"/>
    <w:rsid w:val="00D02174"/>
    <w:rsid w:val="00D022A2"/>
    <w:rsid w:val="00D02BC3"/>
    <w:rsid w:val="00D04F89"/>
    <w:rsid w:val="00D112E9"/>
    <w:rsid w:val="00D11AF5"/>
    <w:rsid w:val="00D120FE"/>
    <w:rsid w:val="00D13C1B"/>
    <w:rsid w:val="00D15CC3"/>
    <w:rsid w:val="00D16294"/>
    <w:rsid w:val="00D201A7"/>
    <w:rsid w:val="00D33CBF"/>
    <w:rsid w:val="00D3486A"/>
    <w:rsid w:val="00D34CB5"/>
    <w:rsid w:val="00D4056E"/>
    <w:rsid w:val="00D410AB"/>
    <w:rsid w:val="00D502DC"/>
    <w:rsid w:val="00D57014"/>
    <w:rsid w:val="00D57724"/>
    <w:rsid w:val="00D679D1"/>
    <w:rsid w:val="00D7072C"/>
    <w:rsid w:val="00D72376"/>
    <w:rsid w:val="00D741B7"/>
    <w:rsid w:val="00D776CD"/>
    <w:rsid w:val="00D902B1"/>
    <w:rsid w:val="00D9092C"/>
    <w:rsid w:val="00D9659E"/>
    <w:rsid w:val="00DA05D8"/>
    <w:rsid w:val="00DA2F6E"/>
    <w:rsid w:val="00DA7006"/>
    <w:rsid w:val="00DB749B"/>
    <w:rsid w:val="00DB76B9"/>
    <w:rsid w:val="00DC06C1"/>
    <w:rsid w:val="00DE3AF9"/>
    <w:rsid w:val="00DE6018"/>
    <w:rsid w:val="00DF454E"/>
    <w:rsid w:val="00E04834"/>
    <w:rsid w:val="00E05D2F"/>
    <w:rsid w:val="00E1097C"/>
    <w:rsid w:val="00E12F9B"/>
    <w:rsid w:val="00E1634F"/>
    <w:rsid w:val="00E16847"/>
    <w:rsid w:val="00E44575"/>
    <w:rsid w:val="00E47774"/>
    <w:rsid w:val="00E47DD8"/>
    <w:rsid w:val="00E5467A"/>
    <w:rsid w:val="00E557B5"/>
    <w:rsid w:val="00E56B51"/>
    <w:rsid w:val="00E57BC5"/>
    <w:rsid w:val="00E57E20"/>
    <w:rsid w:val="00E60788"/>
    <w:rsid w:val="00E66476"/>
    <w:rsid w:val="00E72883"/>
    <w:rsid w:val="00E72BD3"/>
    <w:rsid w:val="00E7544A"/>
    <w:rsid w:val="00E94B97"/>
    <w:rsid w:val="00E9579B"/>
    <w:rsid w:val="00E977C0"/>
    <w:rsid w:val="00EA77BA"/>
    <w:rsid w:val="00EA7B65"/>
    <w:rsid w:val="00EB08E9"/>
    <w:rsid w:val="00EB3306"/>
    <w:rsid w:val="00EB3501"/>
    <w:rsid w:val="00EB43F3"/>
    <w:rsid w:val="00EB7F45"/>
    <w:rsid w:val="00EC2E66"/>
    <w:rsid w:val="00EC3407"/>
    <w:rsid w:val="00ED18D0"/>
    <w:rsid w:val="00ED3B4A"/>
    <w:rsid w:val="00EE68E3"/>
    <w:rsid w:val="00EE7810"/>
    <w:rsid w:val="00EE7F12"/>
    <w:rsid w:val="00EF5797"/>
    <w:rsid w:val="00EF6007"/>
    <w:rsid w:val="00F02AD2"/>
    <w:rsid w:val="00F247E3"/>
    <w:rsid w:val="00F2496F"/>
    <w:rsid w:val="00F30661"/>
    <w:rsid w:val="00F315C6"/>
    <w:rsid w:val="00F32407"/>
    <w:rsid w:val="00F43758"/>
    <w:rsid w:val="00F54C60"/>
    <w:rsid w:val="00F5529A"/>
    <w:rsid w:val="00F55877"/>
    <w:rsid w:val="00F57BD5"/>
    <w:rsid w:val="00F62A3E"/>
    <w:rsid w:val="00F63276"/>
    <w:rsid w:val="00F6375A"/>
    <w:rsid w:val="00F6534B"/>
    <w:rsid w:val="00F740A4"/>
    <w:rsid w:val="00F83129"/>
    <w:rsid w:val="00F845D2"/>
    <w:rsid w:val="00F8473C"/>
    <w:rsid w:val="00F869FD"/>
    <w:rsid w:val="00F93F4E"/>
    <w:rsid w:val="00F94BC6"/>
    <w:rsid w:val="00F96432"/>
    <w:rsid w:val="00FA16B2"/>
    <w:rsid w:val="00FA4C43"/>
    <w:rsid w:val="00FA797D"/>
    <w:rsid w:val="00FB30D7"/>
    <w:rsid w:val="00FC22A1"/>
    <w:rsid w:val="00FC2DDA"/>
    <w:rsid w:val="00FC4DA0"/>
    <w:rsid w:val="00FC54CF"/>
    <w:rsid w:val="00FC682B"/>
    <w:rsid w:val="00FD0EF0"/>
    <w:rsid w:val="00FD2247"/>
    <w:rsid w:val="00FD5F6B"/>
    <w:rsid w:val="00FE0093"/>
    <w:rsid w:val="00FE340C"/>
    <w:rsid w:val="00FF3688"/>
    <w:rsid w:val="00FF3D52"/>
    <w:rsid w:val="00FF7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D75F"/>
  <w15:chartTrackingRefBased/>
  <w15:docId w15:val="{E84316CA-93B6-473C-9D4B-89471B44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D29"/>
    <w:pPr>
      <w:spacing w:after="0" w:line="240" w:lineRule="auto"/>
    </w:pPr>
    <w:rPr>
      <w:rFonts w:ascii="Arial" w:hAnsi="Arial" w:cs="Arial"/>
      <w:kern w:val="0"/>
      <w:szCs w:val="22"/>
      <w14:ligatures w14:val="none"/>
    </w:rPr>
  </w:style>
  <w:style w:type="paragraph" w:styleId="Heading1">
    <w:name w:val="heading 1"/>
    <w:basedOn w:val="Normal"/>
    <w:next w:val="Normal"/>
    <w:link w:val="Heading1Char"/>
    <w:autoRedefine/>
    <w:uiPriority w:val="9"/>
    <w:qFormat/>
    <w:rsid w:val="00FA16B2"/>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FA16B2"/>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4D4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4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D4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D4E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D4E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D4E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D4E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6B2"/>
    <w:rPr>
      <w:rFonts w:ascii="Arial" w:eastAsiaTheme="majorEastAsia" w:hAnsi="Arial" w:cstheme="majorBidi"/>
      <w:sz w:val="40"/>
      <w:szCs w:val="40"/>
    </w:rPr>
  </w:style>
  <w:style w:type="character" w:customStyle="1" w:styleId="Heading2Char">
    <w:name w:val="Heading 2 Char"/>
    <w:basedOn w:val="DefaultParagraphFont"/>
    <w:link w:val="Heading2"/>
    <w:uiPriority w:val="9"/>
    <w:rsid w:val="00FA16B2"/>
    <w:rPr>
      <w:rFonts w:ascii="Arial" w:eastAsiaTheme="majorEastAsia" w:hAnsi="Arial" w:cstheme="majorBidi"/>
      <w:sz w:val="32"/>
      <w:szCs w:val="32"/>
    </w:rPr>
  </w:style>
  <w:style w:type="character" w:customStyle="1" w:styleId="Heading3Char">
    <w:name w:val="Heading 3 Char"/>
    <w:basedOn w:val="DefaultParagraphFont"/>
    <w:link w:val="Heading3"/>
    <w:uiPriority w:val="9"/>
    <w:rsid w:val="004D4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4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D4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D4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D4E6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D4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D4E66"/>
    <w:rPr>
      <w:rFonts w:eastAsiaTheme="majorEastAsia" w:cstheme="majorBidi"/>
      <w:color w:val="272727" w:themeColor="text1" w:themeTint="D8"/>
    </w:rPr>
  </w:style>
  <w:style w:type="paragraph" w:styleId="Title">
    <w:name w:val="Title"/>
    <w:basedOn w:val="Normal"/>
    <w:next w:val="Normal"/>
    <w:link w:val="TitleChar"/>
    <w:uiPriority w:val="10"/>
    <w:qFormat/>
    <w:rsid w:val="00FA16B2"/>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A16B2"/>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4D4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E66"/>
    <w:pPr>
      <w:spacing w:before="160"/>
      <w:jc w:val="center"/>
    </w:pPr>
    <w:rPr>
      <w:i/>
      <w:iCs/>
      <w:color w:val="404040" w:themeColor="text1" w:themeTint="BF"/>
    </w:rPr>
  </w:style>
  <w:style w:type="character" w:customStyle="1" w:styleId="QuoteChar">
    <w:name w:val="Quote Char"/>
    <w:basedOn w:val="DefaultParagraphFont"/>
    <w:link w:val="Quote"/>
    <w:uiPriority w:val="29"/>
    <w:rsid w:val="004D4E66"/>
    <w:rPr>
      <w:i/>
      <w:iCs/>
      <w:color w:val="404040" w:themeColor="text1" w:themeTint="BF"/>
    </w:rPr>
  </w:style>
  <w:style w:type="paragraph" w:styleId="ListParagraph">
    <w:name w:val="List Paragraph"/>
    <w:basedOn w:val="Normal"/>
    <w:uiPriority w:val="34"/>
    <w:qFormat/>
    <w:rsid w:val="004D4E66"/>
    <w:pPr>
      <w:ind w:left="720"/>
      <w:contextualSpacing/>
    </w:pPr>
  </w:style>
  <w:style w:type="character" w:styleId="IntenseEmphasis">
    <w:name w:val="Intense Emphasis"/>
    <w:basedOn w:val="DefaultParagraphFont"/>
    <w:uiPriority w:val="21"/>
    <w:qFormat/>
    <w:rsid w:val="004D4E66"/>
    <w:rPr>
      <w:i/>
      <w:iCs/>
      <w:color w:val="0F4761" w:themeColor="accent1" w:themeShade="BF"/>
    </w:rPr>
  </w:style>
  <w:style w:type="paragraph" w:styleId="IntenseQuote">
    <w:name w:val="Intense Quote"/>
    <w:basedOn w:val="Normal"/>
    <w:next w:val="Normal"/>
    <w:link w:val="IntenseQuoteChar"/>
    <w:uiPriority w:val="30"/>
    <w:qFormat/>
    <w:rsid w:val="004D4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E66"/>
    <w:rPr>
      <w:i/>
      <w:iCs/>
      <w:color w:val="0F4761" w:themeColor="accent1" w:themeShade="BF"/>
    </w:rPr>
  </w:style>
  <w:style w:type="character" w:styleId="IntenseReference">
    <w:name w:val="Intense Reference"/>
    <w:basedOn w:val="DefaultParagraphFont"/>
    <w:uiPriority w:val="32"/>
    <w:qFormat/>
    <w:rsid w:val="004D4E66"/>
    <w:rPr>
      <w:b/>
      <w:bCs/>
      <w:smallCaps/>
      <w:color w:val="0F4761" w:themeColor="accent1" w:themeShade="BF"/>
      <w:spacing w:val="5"/>
    </w:rPr>
  </w:style>
  <w:style w:type="paragraph" w:styleId="NoSpacing">
    <w:name w:val="No Spacing"/>
    <w:uiPriority w:val="1"/>
    <w:qFormat/>
    <w:rsid w:val="00F5529A"/>
    <w:pPr>
      <w:spacing w:after="0" w:line="240" w:lineRule="auto"/>
    </w:pPr>
    <w:rPr>
      <w:rFonts w:ascii="Arial" w:hAnsi="Arial"/>
    </w:rPr>
  </w:style>
  <w:style w:type="character" w:styleId="SubtleEmphasis">
    <w:name w:val="Subtle Emphasis"/>
    <w:basedOn w:val="DefaultParagraphFont"/>
    <w:uiPriority w:val="19"/>
    <w:qFormat/>
    <w:rsid w:val="00F5529A"/>
    <w:rPr>
      <w:i/>
      <w:iCs/>
      <w:color w:val="404040" w:themeColor="text1" w:themeTint="BF"/>
    </w:rPr>
  </w:style>
  <w:style w:type="character" w:styleId="Emphasis">
    <w:name w:val="Emphasis"/>
    <w:basedOn w:val="DefaultParagraphFont"/>
    <w:uiPriority w:val="20"/>
    <w:qFormat/>
    <w:rsid w:val="00F5529A"/>
    <w:rPr>
      <w:i/>
      <w:iCs/>
    </w:rPr>
  </w:style>
  <w:style w:type="character" w:styleId="Strong">
    <w:name w:val="Strong"/>
    <w:basedOn w:val="DefaultParagraphFont"/>
    <w:uiPriority w:val="22"/>
    <w:qFormat/>
    <w:rsid w:val="00F5529A"/>
    <w:rPr>
      <w:b/>
      <w:bCs/>
    </w:rPr>
  </w:style>
  <w:style w:type="character" w:styleId="SubtleReference">
    <w:name w:val="Subtle Reference"/>
    <w:basedOn w:val="DefaultParagraphFont"/>
    <w:uiPriority w:val="31"/>
    <w:qFormat/>
    <w:rsid w:val="00F5529A"/>
    <w:rPr>
      <w:smallCaps/>
      <w:color w:val="5A5A5A" w:themeColor="text1" w:themeTint="A5"/>
    </w:rPr>
  </w:style>
  <w:style w:type="character" w:styleId="BookTitle">
    <w:name w:val="Book Title"/>
    <w:basedOn w:val="DefaultParagraphFont"/>
    <w:uiPriority w:val="33"/>
    <w:qFormat/>
    <w:rsid w:val="00F5529A"/>
    <w:rPr>
      <w:b/>
      <w:bCs/>
      <w:i/>
      <w:iCs/>
      <w:spacing w:val="5"/>
    </w:rPr>
  </w:style>
  <w:style w:type="table" w:styleId="TableGrid">
    <w:name w:val="Table Grid"/>
    <w:basedOn w:val="TableNormal"/>
    <w:uiPriority w:val="59"/>
    <w:rsid w:val="00011D29"/>
    <w:pPr>
      <w:spacing w:after="0" w:line="240" w:lineRule="auto"/>
    </w:pPr>
    <w:rPr>
      <w:rFonts w:ascii="Arial" w:hAnsi="Arial" w:cs="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11D29"/>
    <w:pPr>
      <w:suppressAutoHyphens/>
      <w:spacing w:before="280" w:after="280"/>
    </w:pPr>
    <w:rPr>
      <w:rFonts w:ascii="Times New Roman" w:eastAsia="Times New Roman" w:hAnsi="Times New Roman" w:cs="Times New Roman"/>
      <w:szCs w:val="24"/>
      <w:lang w:val="en-US" w:eastAsia="ar-SA"/>
    </w:rPr>
  </w:style>
  <w:style w:type="character" w:styleId="Hyperlink">
    <w:name w:val="Hyperlink"/>
    <w:basedOn w:val="DefaultParagraphFont"/>
    <w:uiPriority w:val="99"/>
    <w:rsid w:val="00011D29"/>
    <w:rPr>
      <w:rFonts w:cs="Times New Roman"/>
      <w:color w:val="0000FF"/>
      <w:u w:val="single"/>
    </w:rPr>
  </w:style>
  <w:style w:type="paragraph" w:styleId="BalloonText">
    <w:name w:val="Balloon Text"/>
    <w:basedOn w:val="Normal"/>
    <w:link w:val="BalloonTextChar"/>
    <w:uiPriority w:val="99"/>
    <w:semiHidden/>
    <w:unhideWhenUsed/>
    <w:rsid w:val="00011D29"/>
    <w:rPr>
      <w:rFonts w:ascii="Tahoma" w:hAnsi="Tahoma" w:cs="Tahoma"/>
      <w:sz w:val="16"/>
      <w:szCs w:val="16"/>
    </w:rPr>
  </w:style>
  <w:style w:type="character" w:customStyle="1" w:styleId="BalloonTextChar">
    <w:name w:val="Balloon Text Char"/>
    <w:basedOn w:val="DefaultParagraphFont"/>
    <w:link w:val="BalloonText"/>
    <w:uiPriority w:val="99"/>
    <w:semiHidden/>
    <w:rsid w:val="00011D29"/>
    <w:rPr>
      <w:rFonts w:ascii="Tahoma" w:hAnsi="Tahoma" w:cs="Tahoma"/>
      <w:kern w:val="0"/>
      <w:sz w:val="16"/>
      <w:szCs w:val="16"/>
      <w14:ligatures w14:val="none"/>
    </w:rPr>
  </w:style>
  <w:style w:type="character" w:customStyle="1" w:styleId="FootnoteCharacters">
    <w:name w:val="Footnote Characters"/>
    <w:basedOn w:val="DefaultParagraphFont"/>
    <w:uiPriority w:val="99"/>
    <w:rsid w:val="00011D29"/>
    <w:rPr>
      <w:rFonts w:cs="Times New Roman"/>
      <w:vertAlign w:val="superscript"/>
    </w:rPr>
  </w:style>
  <w:style w:type="paragraph" w:styleId="FootnoteText">
    <w:name w:val="footnote text"/>
    <w:basedOn w:val="Normal"/>
    <w:link w:val="FootnoteTextChar"/>
    <w:uiPriority w:val="99"/>
    <w:semiHidden/>
    <w:rsid w:val="00011D29"/>
    <w:pPr>
      <w:suppressAutoHyphens/>
    </w:pPr>
    <w:rPr>
      <w:rFonts w:eastAsia="Calibri"/>
      <w:sz w:val="20"/>
      <w:szCs w:val="20"/>
      <w:lang w:eastAsia="ar-SA"/>
    </w:rPr>
  </w:style>
  <w:style w:type="character" w:customStyle="1" w:styleId="FootnoteTextChar">
    <w:name w:val="Footnote Text Char"/>
    <w:basedOn w:val="DefaultParagraphFont"/>
    <w:link w:val="FootnoteText"/>
    <w:uiPriority w:val="99"/>
    <w:semiHidden/>
    <w:rsid w:val="00011D29"/>
    <w:rPr>
      <w:rFonts w:ascii="Arial" w:eastAsia="Calibri" w:hAnsi="Arial" w:cs="Arial"/>
      <w:kern w:val="0"/>
      <w:sz w:val="20"/>
      <w:szCs w:val="20"/>
      <w:lang w:eastAsia="ar-SA"/>
      <w14:ligatures w14:val="none"/>
    </w:rPr>
  </w:style>
  <w:style w:type="paragraph" w:styleId="Header">
    <w:name w:val="header"/>
    <w:basedOn w:val="Normal"/>
    <w:link w:val="HeaderChar"/>
    <w:uiPriority w:val="99"/>
    <w:unhideWhenUsed/>
    <w:rsid w:val="00011D29"/>
    <w:pPr>
      <w:tabs>
        <w:tab w:val="center" w:pos="4513"/>
        <w:tab w:val="right" w:pos="9026"/>
      </w:tabs>
    </w:pPr>
  </w:style>
  <w:style w:type="character" w:customStyle="1" w:styleId="HeaderChar">
    <w:name w:val="Header Char"/>
    <w:basedOn w:val="DefaultParagraphFont"/>
    <w:link w:val="Header"/>
    <w:uiPriority w:val="99"/>
    <w:rsid w:val="00011D29"/>
    <w:rPr>
      <w:rFonts w:ascii="Arial" w:hAnsi="Arial" w:cs="Arial"/>
      <w:kern w:val="0"/>
      <w:szCs w:val="22"/>
      <w14:ligatures w14:val="none"/>
    </w:rPr>
  </w:style>
  <w:style w:type="paragraph" w:styleId="Footer">
    <w:name w:val="footer"/>
    <w:basedOn w:val="Normal"/>
    <w:link w:val="FooterChar"/>
    <w:uiPriority w:val="99"/>
    <w:unhideWhenUsed/>
    <w:rsid w:val="00011D29"/>
    <w:pPr>
      <w:tabs>
        <w:tab w:val="center" w:pos="4513"/>
        <w:tab w:val="right" w:pos="9026"/>
      </w:tabs>
    </w:pPr>
  </w:style>
  <w:style w:type="character" w:customStyle="1" w:styleId="FooterChar">
    <w:name w:val="Footer Char"/>
    <w:basedOn w:val="DefaultParagraphFont"/>
    <w:link w:val="Footer"/>
    <w:uiPriority w:val="99"/>
    <w:rsid w:val="00011D29"/>
    <w:rPr>
      <w:rFonts w:ascii="Arial" w:hAnsi="Arial" w:cs="Arial"/>
      <w:kern w:val="0"/>
      <w:szCs w:val="22"/>
      <w14:ligatures w14:val="none"/>
    </w:rPr>
  </w:style>
  <w:style w:type="paragraph" w:styleId="BodyText">
    <w:name w:val="Body Text"/>
    <w:basedOn w:val="Normal"/>
    <w:link w:val="BodyTextChar"/>
    <w:uiPriority w:val="1"/>
    <w:qFormat/>
    <w:rsid w:val="00011D29"/>
    <w:pPr>
      <w:widowControl w:val="0"/>
      <w:ind w:left="820" w:hanging="720"/>
    </w:pPr>
    <w:rPr>
      <w:rFonts w:eastAsia="Arial" w:cstheme="minorBidi"/>
      <w:szCs w:val="24"/>
      <w:lang w:val="en-US"/>
    </w:rPr>
  </w:style>
  <w:style w:type="character" w:customStyle="1" w:styleId="BodyTextChar">
    <w:name w:val="Body Text Char"/>
    <w:basedOn w:val="DefaultParagraphFont"/>
    <w:link w:val="BodyText"/>
    <w:uiPriority w:val="1"/>
    <w:rsid w:val="00011D29"/>
    <w:rPr>
      <w:rFonts w:ascii="Arial" w:eastAsia="Arial" w:hAnsi="Arial"/>
      <w:kern w:val="0"/>
      <w:lang w:val="en-US"/>
      <w14:ligatures w14:val="none"/>
    </w:rPr>
  </w:style>
  <w:style w:type="paragraph" w:customStyle="1" w:styleId="Default">
    <w:name w:val="Default"/>
    <w:rsid w:val="00011D29"/>
    <w:pPr>
      <w:autoSpaceDE w:val="0"/>
      <w:autoSpaceDN w:val="0"/>
      <w:adjustRightInd w:val="0"/>
      <w:spacing w:after="0" w:line="240" w:lineRule="auto"/>
    </w:pPr>
    <w:rPr>
      <w:rFonts w:ascii="Arial" w:hAnsi="Arial" w:cs="Arial"/>
      <w:color w:val="000000"/>
      <w:kern w:val="0"/>
      <w14:ligatures w14:val="none"/>
    </w:rPr>
  </w:style>
  <w:style w:type="character" w:styleId="FootnoteReference">
    <w:name w:val="footnote reference"/>
    <w:basedOn w:val="DefaultParagraphFont"/>
    <w:uiPriority w:val="99"/>
    <w:semiHidden/>
    <w:unhideWhenUsed/>
    <w:rsid w:val="00011D29"/>
    <w:rPr>
      <w:vertAlign w:val="superscript"/>
    </w:rPr>
  </w:style>
  <w:style w:type="character" w:styleId="FollowedHyperlink">
    <w:name w:val="FollowedHyperlink"/>
    <w:basedOn w:val="DefaultParagraphFont"/>
    <w:uiPriority w:val="99"/>
    <w:semiHidden/>
    <w:unhideWhenUsed/>
    <w:rsid w:val="00011D29"/>
    <w:rPr>
      <w:color w:val="96607D" w:themeColor="followedHyperlink"/>
      <w:u w:val="single"/>
    </w:rPr>
  </w:style>
  <w:style w:type="paragraph" w:customStyle="1" w:styleId="TableHeading">
    <w:name w:val="TableHeading"/>
    <w:next w:val="Normal"/>
    <w:link w:val="TableHeadingChar"/>
    <w:rsid w:val="00011D29"/>
    <w:pPr>
      <w:spacing w:after="200" w:line="276" w:lineRule="auto"/>
    </w:pPr>
    <w:rPr>
      <w:rFonts w:ascii="Arial" w:hAnsi="Arial" w:cs="Arial"/>
      <w:b/>
      <w:color w:val="000000"/>
      <w:kern w:val="0"/>
      <w:szCs w:val="22"/>
      <w14:ligatures w14:val="none"/>
    </w:rPr>
  </w:style>
  <w:style w:type="character" w:customStyle="1" w:styleId="TableHeadingChar">
    <w:name w:val="TableHeading Char"/>
    <w:basedOn w:val="DefaultParagraphFont"/>
    <w:link w:val="TableHeading"/>
    <w:rsid w:val="00011D29"/>
    <w:rPr>
      <w:rFonts w:ascii="Arial" w:hAnsi="Arial" w:cs="Arial"/>
      <w:b/>
      <w:color w:val="000000"/>
      <w:kern w:val="0"/>
      <w:szCs w:val="22"/>
      <w14:ligatures w14:val="none"/>
    </w:rPr>
  </w:style>
  <w:style w:type="character" w:styleId="PlaceholderText">
    <w:name w:val="Placeholder Text"/>
    <w:basedOn w:val="DefaultParagraphFont"/>
    <w:uiPriority w:val="99"/>
    <w:semiHidden/>
    <w:rsid w:val="00011D29"/>
    <w:rPr>
      <w:color w:val="808080"/>
    </w:rPr>
  </w:style>
  <w:style w:type="character" w:styleId="CommentReference">
    <w:name w:val="annotation reference"/>
    <w:basedOn w:val="DefaultParagraphFont"/>
    <w:uiPriority w:val="99"/>
    <w:semiHidden/>
    <w:unhideWhenUsed/>
    <w:rsid w:val="00011D29"/>
    <w:rPr>
      <w:sz w:val="16"/>
      <w:szCs w:val="16"/>
    </w:rPr>
  </w:style>
  <w:style w:type="paragraph" w:styleId="CommentText">
    <w:name w:val="annotation text"/>
    <w:basedOn w:val="Normal"/>
    <w:link w:val="CommentTextChar"/>
    <w:uiPriority w:val="99"/>
    <w:unhideWhenUsed/>
    <w:rsid w:val="00011D29"/>
    <w:rPr>
      <w:sz w:val="20"/>
      <w:szCs w:val="20"/>
    </w:rPr>
  </w:style>
  <w:style w:type="character" w:customStyle="1" w:styleId="CommentTextChar">
    <w:name w:val="Comment Text Char"/>
    <w:basedOn w:val="DefaultParagraphFont"/>
    <w:link w:val="CommentText"/>
    <w:uiPriority w:val="99"/>
    <w:rsid w:val="00011D29"/>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1D29"/>
    <w:rPr>
      <w:b/>
      <w:bCs/>
    </w:rPr>
  </w:style>
  <w:style w:type="character" w:customStyle="1" w:styleId="CommentSubjectChar">
    <w:name w:val="Comment Subject Char"/>
    <w:basedOn w:val="CommentTextChar"/>
    <w:link w:val="CommentSubject"/>
    <w:uiPriority w:val="99"/>
    <w:semiHidden/>
    <w:rsid w:val="00011D29"/>
    <w:rPr>
      <w:rFonts w:ascii="Arial" w:hAnsi="Arial" w:cs="Arial"/>
      <w:b/>
      <w:bCs/>
      <w:kern w:val="0"/>
      <w:sz w:val="20"/>
      <w:szCs w:val="20"/>
      <w14:ligatures w14:val="none"/>
    </w:rPr>
  </w:style>
  <w:style w:type="character" w:styleId="UnresolvedMention">
    <w:name w:val="Unresolved Mention"/>
    <w:basedOn w:val="DefaultParagraphFont"/>
    <w:uiPriority w:val="99"/>
    <w:semiHidden/>
    <w:unhideWhenUsed/>
    <w:rsid w:val="00011D29"/>
    <w:rPr>
      <w:color w:val="605E5C"/>
      <w:shd w:val="clear" w:color="auto" w:fill="E1DFDD"/>
    </w:rPr>
  </w:style>
  <w:style w:type="paragraph" w:styleId="TOCHeading">
    <w:name w:val="TOC Heading"/>
    <w:basedOn w:val="Heading1"/>
    <w:next w:val="Normal"/>
    <w:uiPriority w:val="39"/>
    <w:unhideWhenUsed/>
    <w:qFormat/>
    <w:rsid w:val="00011D29"/>
    <w:pPr>
      <w:spacing w:before="240" w:after="0" w:line="259" w:lineRule="auto"/>
      <w:outlineLvl w:val="9"/>
    </w:pPr>
    <w:rPr>
      <w:b/>
      <w:sz w:val="28"/>
      <w:szCs w:val="32"/>
      <w:lang w:val="en-US"/>
    </w:rPr>
  </w:style>
  <w:style w:type="paragraph" w:customStyle="1" w:styleId="Style1">
    <w:name w:val="Style1"/>
    <w:basedOn w:val="Normal"/>
    <w:link w:val="Style1Char"/>
    <w:qFormat/>
    <w:rsid w:val="00011D29"/>
    <w:pPr>
      <w:jc w:val="center"/>
    </w:pPr>
    <w:rPr>
      <w:b/>
      <w:sz w:val="28"/>
      <w:szCs w:val="28"/>
    </w:rPr>
  </w:style>
  <w:style w:type="character" w:customStyle="1" w:styleId="Style1Char">
    <w:name w:val="Style1 Char"/>
    <w:basedOn w:val="DefaultParagraphFont"/>
    <w:link w:val="Style1"/>
    <w:rsid w:val="00011D29"/>
    <w:rPr>
      <w:rFonts w:ascii="Arial" w:hAnsi="Arial" w:cs="Arial"/>
      <w:b/>
      <w:kern w:val="0"/>
      <w:sz w:val="28"/>
      <w:szCs w:val="28"/>
      <w14:ligatures w14:val="none"/>
    </w:rPr>
  </w:style>
  <w:style w:type="paragraph" w:styleId="TOC2">
    <w:name w:val="toc 2"/>
    <w:basedOn w:val="Normal"/>
    <w:next w:val="Normal"/>
    <w:autoRedefine/>
    <w:uiPriority w:val="39"/>
    <w:unhideWhenUsed/>
    <w:rsid w:val="00011D29"/>
    <w:pPr>
      <w:spacing w:after="100"/>
      <w:ind w:left="240"/>
    </w:pPr>
  </w:style>
  <w:style w:type="paragraph" w:styleId="TOC3">
    <w:name w:val="toc 3"/>
    <w:basedOn w:val="Normal"/>
    <w:next w:val="Normal"/>
    <w:autoRedefine/>
    <w:uiPriority w:val="39"/>
    <w:unhideWhenUsed/>
    <w:rsid w:val="00011D29"/>
    <w:pPr>
      <w:spacing w:after="100"/>
      <w:ind w:left="480"/>
    </w:pPr>
  </w:style>
  <w:style w:type="paragraph" w:styleId="TOC1">
    <w:name w:val="toc 1"/>
    <w:basedOn w:val="Normal"/>
    <w:next w:val="Normal"/>
    <w:autoRedefine/>
    <w:uiPriority w:val="39"/>
    <w:unhideWhenUsed/>
    <w:rsid w:val="00011D29"/>
    <w:pPr>
      <w:tabs>
        <w:tab w:val="left" w:pos="480"/>
        <w:tab w:val="right" w:leader="dot" w:pos="8898"/>
      </w:tabs>
      <w:spacing w:before="120" w:after="120" w:line="360" w:lineRule="auto"/>
      <w:jc w:val="center"/>
    </w:pPr>
    <w:rPr>
      <w:b/>
      <w:bCs/>
      <w:sz w:val="28"/>
      <w:szCs w:val="24"/>
    </w:rPr>
  </w:style>
  <w:style w:type="paragraph" w:styleId="Revision">
    <w:name w:val="Revision"/>
    <w:hidden/>
    <w:uiPriority w:val="99"/>
    <w:semiHidden/>
    <w:rsid w:val="00011D29"/>
    <w:pPr>
      <w:spacing w:after="0" w:line="240" w:lineRule="auto"/>
    </w:pPr>
    <w:rPr>
      <w:rFonts w:ascii="Arial" w:hAnsi="Arial" w:cs="Arial"/>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national-planning-policy-for-waste" TargetMode="External"/><Relationship Id="rId18" Type="http://schemas.openxmlformats.org/officeDocument/2006/relationships/chart" Target="charts/chart4.xml"/><Relationship Id="rId26" Type="http://schemas.openxmlformats.org/officeDocument/2006/relationships/hyperlink" Target="https://www.newforestnpa.gov.uk/planning/infrastructure-funding-statements/" TargetMode="Externa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hart" Target="charts/chart3.xml"/><Relationship Id="rId25" Type="http://schemas.openxmlformats.org/officeDocument/2006/relationships/hyperlink" Target="https://birdaware.org/solent/about-us/our-strategy/annual-repor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irdaware.org/solen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hyperlink" Target="https://solent.birdaware.org/strategy" TargetMode="External"/><Relationship Id="rId28" Type="http://schemas.openxmlformats.org/officeDocument/2006/relationships/hyperlink" Target="http://www.legislation.gov.uk/ukpga/2015/17/contents/enacted" TargetMode="External"/><Relationship Id="rId10" Type="http://schemas.openxmlformats.org/officeDocument/2006/relationships/footnotes" Target="footnotes.xml"/><Relationship Id="rId19" Type="http://schemas.openxmlformats.org/officeDocument/2006/relationships/chart" Target="charts/chart5.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licy@newforestnpa.gov.uk" TargetMode="External"/><Relationship Id="rId22" Type="http://schemas.openxmlformats.org/officeDocument/2006/relationships/hyperlink" Target="https://www.newforestnpa.gov.uk/documents/planning/revised-habitat-mitigation-scheme-spd/" TargetMode="External"/><Relationship Id="rId27" Type="http://schemas.openxmlformats.org/officeDocument/2006/relationships/hyperlink" Target="https://www.newforestnpa.gov.uk/planning/neighbourhood-planning/" TargetMode="External"/><Relationship Id="rId30" Type="http://schemas.openxmlformats.org/officeDocument/2006/relationships/hyperlink" Target="https://www.newforestnpa.gov.uk/planning-home-page/planning-policy/local-plan/local-plan-review-2025-27/" TargetMode="External"/><Relationship Id="rId8"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newforestnpa.sharepoint.com/sites/AnnualMonitoringReportTeam/Shared%20Documents/AMR%202025%20LP%20policy%20pp%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ewforestnpa.sharepoint.com/sites/AnnualMonitoringReportTeam/Shared%20Documents/AMR%202025%20LP%20policy%20pp%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ewforestnpa.sharepoint.com/sites/AnnualMonitoringReportTeam/Shared%20Documents/AMR%202025%20LP%20policy%20pp%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newforestnpa.sharepoint.com/sites/AnnualMonitoringReportTeam/Shared%20Documents/AMR%202025%20LP%20policy%20pp%20anal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newforestnpa.sharepoint.com/sites/AnnualMonitoringReportTeam/Shared%20Documents/AMR%202025%20LP%20policy%20pp%20analys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newforestnpa.sharepoint.com/sites/AnnualMonitoringReportTeam/Shared%20Documents/NFNPA%20housing%20trajectory%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newforestnpa.sharepoint.com/sites/AnnualMonitoringReportTeam/Shared%20Documents/AMR%202025%20LP%20policy%20pp%20analysi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newforestnpa.sharepoint.com/sites/AnnualMonitoringReportTeam/Shared%20Documents/AMR%202025%20LP%20policy%20pp%20analysi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1971878515185602"/>
          <c:y val="5.7651991614255764E-2"/>
          <c:w val="0.85750688772599082"/>
          <c:h val="0.53758563198468112"/>
        </c:manualLayout>
      </c:layout>
      <c:barChart>
        <c:barDir val="col"/>
        <c:grouping val="clustered"/>
        <c:varyColors val="0"/>
        <c:ser>
          <c:idx val="0"/>
          <c:order val="0"/>
          <c:tx>
            <c:strRef>
              <c:f>Biodiversity!$A$7</c:f>
              <c:strCache>
                <c:ptCount val="1"/>
                <c:pt idx="0">
                  <c:v>Local Nature Reserve (LNR) </c:v>
                </c:pt>
              </c:strCache>
            </c:strRef>
          </c:tx>
          <c:spPr>
            <a:solidFill>
              <a:schemeClr val="bg1">
                <a:lumMod val="85000"/>
              </a:schemeClr>
            </a:solidFill>
            <a:ln>
              <a:noFill/>
            </a:ln>
            <a:effectLst/>
          </c:spPr>
          <c:invertIfNegative val="0"/>
          <c:cat>
            <c:strRef>
              <c:f>Biodiversity!$B$6:$T$6</c:f>
              <c:strCache>
                <c:ptCount val="19"/>
                <c:pt idx="0">
                  <c:v>2006 - 07</c:v>
                </c:pt>
                <c:pt idx="1">
                  <c:v>2007 - 08</c:v>
                </c:pt>
                <c:pt idx="2">
                  <c:v>2008 - 09</c:v>
                </c:pt>
                <c:pt idx="3">
                  <c:v>2009 - 10</c:v>
                </c:pt>
                <c:pt idx="4">
                  <c:v>2010 - 11</c:v>
                </c:pt>
                <c:pt idx="5">
                  <c:v>2011 - 12</c:v>
                </c:pt>
                <c:pt idx="6">
                  <c:v>2012 -13</c:v>
                </c:pt>
                <c:pt idx="7">
                  <c:v>2013 - 14</c:v>
                </c:pt>
                <c:pt idx="8">
                  <c:v>2014 - 15</c:v>
                </c:pt>
                <c:pt idx="9">
                  <c:v>2015 - 16</c:v>
                </c:pt>
                <c:pt idx="10">
                  <c:v>2016 - 17</c:v>
                </c:pt>
                <c:pt idx="11">
                  <c:v>2017 - 18</c:v>
                </c:pt>
                <c:pt idx="12">
                  <c:v>2018 - 19</c:v>
                </c:pt>
                <c:pt idx="13">
                  <c:v>2019 - 20</c:v>
                </c:pt>
                <c:pt idx="14">
                  <c:v>2020 - 21</c:v>
                </c:pt>
                <c:pt idx="15">
                  <c:v>2021 - 22</c:v>
                </c:pt>
                <c:pt idx="16">
                  <c:v>2022 - 23</c:v>
                </c:pt>
                <c:pt idx="17">
                  <c:v>2023 - 24</c:v>
                </c:pt>
                <c:pt idx="18">
                  <c:v>2024 - 25</c:v>
                </c:pt>
              </c:strCache>
            </c:strRef>
          </c:cat>
          <c:val>
            <c:numRef>
              <c:f>Biodiversity!$B$7:$T$7</c:f>
              <c:numCache>
                <c:formatCode>#,##0</c:formatCode>
                <c:ptCount val="19"/>
                <c:pt idx="0">
                  <c:v>412</c:v>
                </c:pt>
                <c:pt idx="1">
                  <c:v>410</c:v>
                </c:pt>
                <c:pt idx="2" formatCode="General">
                  <c:v>411</c:v>
                </c:pt>
                <c:pt idx="3" formatCode="General">
                  <c:v>412</c:v>
                </c:pt>
                <c:pt idx="4" formatCode="General">
                  <c:v>412</c:v>
                </c:pt>
                <c:pt idx="5" formatCode="General">
                  <c:v>416</c:v>
                </c:pt>
                <c:pt idx="6">
                  <c:v>416</c:v>
                </c:pt>
                <c:pt idx="7">
                  <c:v>416</c:v>
                </c:pt>
                <c:pt idx="8">
                  <c:v>416</c:v>
                </c:pt>
                <c:pt idx="9">
                  <c:v>416</c:v>
                </c:pt>
                <c:pt idx="10">
                  <c:v>416</c:v>
                </c:pt>
                <c:pt idx="11">
                  <c:v>416</c:v>
                </c:pt>
                <c:pt idx="12" formatCode="General">
                  <c:v>416</c:v>
                </c:pt>
                <c:pt idx="13" formatCode="General">
                  <c:v>416</c:v>
                </c:pt>
                <c:pt idx="14" formatCode="General">
                  <c:v>416</c:v>
                </c:pt>
                <c:pt idx="15" formatCode="General">
                  <c:v>416</c:v>
                </c:pt>
                <c:pt idx="16" formatCode="General">
                  <c:v>416</c:v>
                </c:pt>
                <c:pt idx="17" formatCode="General">
                  <c:v>416</c:v>
                </c:pt>
                <c:pt idx="18" formatCode="General">
                  <c:v>416</c:v>
                </c:pt>
              </c:numCache>
            </c:numRef>
          </c:val>
          <c:extLst>
            <c:ext xmlns:c16="http://schemas.microsoft.com/office/drawing/2014/chart" uri="{C3380CC4-5D6E-409C-BE32-E72D297353CC}">
              <c16:uniqueId val="{00000000-737A-4C70-8922-68FB9B474D73}"/>
            </c:ext>
          </c:extLst>
        </c:ser>
        <c:ser>
          <c:idx val="1"/>
          <c:order val="1"/>
          <c:tx>
            <c:strRef>
              <c:f>Biodiversity!$A$8</c:f>
              <c:strCache>
                <c:ptCount val="1"/>
                <c:pt idx="0">
                  <c:v>National Nature Reserve (NNR) </c:v>
                </c:pt>
              </c:strCache>
            </c:strRef>
          </c:tx>
          <c:spPr>
            <a:solidFill>
              <a:srgbClr val="B4B4B4"/>
            </a:solidFill>
            <a:ln>
              <a:noFill/>
            </a:ln>
            <a:effectLst/>
          </c:spPr>
          <c:invertIfNegative val="0"/>
          <c:cat>
            <c:strRef>
              <c:f>Biodiversity!$B$6:$T$6</c:f>
              <c:strCache>
                <c:ptCount val="19"/>
                <c:pt idx="0">
                  <c:v>2006 - 07</c:v>
                </c:pt>
                <c:pt idx="1">
                  <c:v>2007 - 08</c:v>
                </c:pt>
                <c:pt idx="2">
                  <c:v>2008 - 09</c:v>
                </c:pt>
                <c:pt idx="3">
                  <c:v>2009 - 10</c:v>
                </c:pt>
                <c:pt idx="4">
                  <c:v>2010 - 11</c:v>
                </c:pt>
                <c:pt idx="5">
                  <c:v>2011 - 12</c:v>
                </c:pt>
                <c:pt idx="6">
                  <c:v>2012 -13</c:v>
                </c:pt>
                <c:pt idx="7">
                  <c:v>2013 - 14</c:v>
                </c:pt>
                <c:pt idx="8">
                  <c:v>2014 - 15</c:v>
                </c:pt>
                <c:pt idx="9">
                  <c:v>2015 - 16</c:v>
                </c:pt>
                <c:pt idx="10">
                  <c:v>2016 - 17</c:v>
                </c:pt>
                <c:pt idx="11">
                  <c:v>2017 - 18</c:v>
                </c:pt>
                <c:pt idx="12">
                  <c:v>2018 - 19</c:v>
                </c:pt>
                <c:pt idx="13">
                  <c:v>2019 - 20</c:v>
                </c:pt>
                <c:pt idx="14">
                  <c:v>2020 - 21</c:v>
                </c:pt>
                <c:pt idx="15">
                  <c:v>2021 - 22</c:v>
                </c:pt>
                <c:pt idx="16">
                  <c:v>2022 - 23</c:v>
                </c:pt>
                <c:pt idx="17">
                  <c:v>2023 - 24</c:v>
                </c:pt>
                <c:pt idx="18">
                  <c:v>2024 - 25</c:v>
                </c:pt>
              </c:strCache>
            </c:strRef>
          </c:cat>
          <c:val>
            <c:numRef>
              <c:f>Biodiversity!$B$8:$T$8</c:f>
              <c:numCache>
                <c:formatCode>#,##0</c:formatCode>
                <c:ptCount val="19"/>
                <c:pt idx="0">
                  <c:v>979</c:v>
                </c:pt>
                <c:pt idx="1">
                  <c:v>1199</c:v>
                </c:pt>
                <c:pt idx="2">
                  <c:v>1199</c:v>
                </c:pt>
                <c:pt idx="3">
                  <c:v>1199</c:v>
                </c:pt>
                <c:pt idx="4">
                  <c:v>1199</c:v>
                </c:pt>
                <c:pt idx="5">
                  <c:v>1199</c:v>
                </c:pt>
                <c:pt idx="6">
                  <c:v>1199</c:v>
                </c:pt>
                <c:pt idx="7">
                  <c:v>1199</c:v>
                </c:pt>
                <c:pt idx="8">
                  <c:v>1199</c:v>
                </c:pt>
                <c:pt idx="9">
                  <c:v>1199</c:v>
                </c:pt>
                <c:pt idx="10">
                  <c:v>1199</c:v>
                </c:pt>
                <c:pt idx="11">
                  <c:v>1198</c:v>
                </c:pt>
                <c:pt idx="12">
                  <c:v>1199</c:v>
                </c:pt>
                <c:pt idx="13">
                  <c:v>1199</c:v>
                </c:pt>
                <c:pt idx="14">
                  <c:v>1199</c:v>
                </c:pt>
                <c:pt idx="15">
                  <c:v>1142</c:v>
                </c:pt>
                <c:pt idx="16">
                  <c:v>1142</c:v>
                </c:pt>
                <c:pt idx="17">
                  <c:v>1142</c:v>
                </c:pt>
                <c:pt idx="18">
                  <c:v>1142</c:v>
                </c:pt>
              </c:numCache>
            </c:numRef>
          </c:val>
          <c:extLst>
            <c:ext xmlns:c16="http://schemas.microsoft.com/office/drawing/2014/chart" uri="{C3380CC4-5D6E-409C-BE32-E72D297353CC}">
              <c16:uniqueId val="{00000001-737A-4C70-8922-68FB9B474D73}"/>
            </c:ext>
          </c:extLst>
        </c:ser>
        <c:ser>
          <c:idx val="2"/>
          <c:order val="2"/>
          <c:tx>
            <c:strRef>
              <c:f>Biodiversity!$A$9</c:f>
              <c:strCache>
                <c:ptCount val="1"/>
                <c:pt idx="0">
                  <c:v>Site of Importance for Nature Conservation (SINC) size</c:v>
                </c:pt>
              </c:strCache>
            </c:strRef>
          </c:tx>
          <c:spPr>
            <a:solidFill>
              <a:schemeClr val="tx1"/>
            </a:solidFill>
            <a:ln>
              <a:noFill/>
            </a:ln>
            <a:effectLst/>
          </c:spPr>
          <c:invertIfNegative val="0"/>
          <c:cat>
            <c:strRef>
              <c:f>Biodiversity!$B$6:$T$6</c:f>
              <c:strCache>
                <c:ptCount val="19"/>
                <c:pt idx="0">
                  <c:v>2006 - 07</c:v>
                </c:pt>
                <c:pt idx="1">
                  <c:v>2007 - 08</c:v>
                </c:pt>
                <c:pt idx="2">
                  <c:v>2008 - 09</c:v>
                </c:pt>
                <c:pt idx="3">
                  <c:v>2009 - 10</c:v>
                </c:pt>
                <c:pt idx="4">
                  <c:v>2010 - 11</c:v>
                </c:pt>
                <c:pt idx="5">
                  <c:v>2011 - 12</c:v>
                </c:pt>
                <c:pt idx="6">
                  <c:v>2012 -13</c:v>
                </c:pt>
                <c:pt idx="7">
                  <c:v>2013 - 14</c:v>
                </c:pt>
                <c:pt idx="8">
                  <c:v>2014 - 15</c:v>
                </c:pt>
                <c:pt idx="9">
                  <c:v>2015 - 16</c:v>
                </c:pt>
                <c:pt idx="10">
                  <c:v>2016 - 17</c:v>
                </c:pt>
                <c:pt idx="11">
                  <c:v>2017 - 18</c:v>
                </c:pt>
                <c:pt idx="12">
                  <c:v>2018 - 19</c:v>
                </c:pt>
                <c:pt idx="13">
                  <c:v>2019 - 20</c:v>
                </c:pt>
                <c:pt idx="14">
                  <c:v>2020 - 21</c:v>
                </c:pt>
                <c:pt idx="15">
                  <c:v>2021 - 22</c:v>
                </c:pt>
                <c:pt idx="16">
                  <c:v>2022 - 23</c:v>
                </c:pt>
                <c:pt idx="17">
                  <c:v>2023 - 24</c:v>
                </c:pt>
                <c:pt idx="18">
                  <c:v>2024 - 25</c:v>
                </c:pt>
              </c:strCache>
            </c:strRef>
          </c:cat>
          <c:val>
            <c:numRef>
              <c:f>Biodiversity!$B$9:$T$9</c:f>
              <c:numCache>
                <c:formatCode>#,##0</c:formatCode>
                <c:ptCount val="19"/>
                <c:pt idx="0">
                  <c:v>2890</c:v>
                </c:pt>
                <c:pt idx="1">
                  <c:v>2898</c:v>
                </c:pt>
                <c:pt idx="2">
                  <c:v>2845</c:v>
                </c:pt>
                <c:pt idx="3">
                  <c:v>3024</c:v>
                </c:pt>
                <c:pt idx="4">
                  <c:v>3018</c:v>
                </c:pt>
                <c:pt idx="5">
                  <c:v>3019</c:v>
                </c:pt>
                <c:pt idx="6">
                  <c:v>3023</c:v>
                </c:pt>
                <c:pt idx="7">
                  <c:v>3024</c:v>
                </c:pt>
                <c:pt idx="8">
                  <c:v>3033</c:v>
                </c:pt>
                <c:pt idx="9">
                  <c:v>3034</c:v>
                </c:pt>
                <c:pt idx="10">
                  <c:v>3044</c:v>
                </c:pt>
                <c:pt idx="11">
                  <c:v>3041</c:v>
                </c:pt>
                <c:pt idx="12">
                  <c:v>3046</c:v>
                </c:pt>
                <c:pt idx="13">
                  <c:v>3042</c:v>
                </c:pt>
                <c:pt idx="14">
                  <c:v>3047</c:v>
                </c:pt>
                <c:pt idx="15">
                  <c:v>3028</c:v>
                </c:pt>
                <c:pt idx="16">
                  <c:v>3033</c:v>
                </c:pt>
                <c:pt idx="17">
                  <c:v>3041</c:v>
                </c:pt>
                <c:pt idx="18">
                  <c:v>3035</c:v>
                </c:pt>
              </c:numCache>
            </c:numRef>
          </c:val>
          <c:extLst>
            <c:ext xmlns:c16="http://schemas.microsoft.com/office/drawing/2014/chart" uri="{C3380CC4-5D6E-409C-BE32-E72D297353CC}">
              <c16:uniqueId val="{00000002-737A-4C70-8922-68FB9B474D73}"/>
            </c:ext>
          </c:extLst>
        </c:ser>
        <c:dLbls>
          <c:showLegendKey val="0"/>
          <c:showVal val="0"/>
          <c:showCatName val="0"/>
          <c:showSerName val="0"/>
          <c:showPercent val="0"/>
          <c:showBubbleSize val="0"/>
        </c:dLbls>
        <c:gapWidth val="219"/>
        <c:overlap val="-27"/>
        <c:axId val="507152320"/>
        <c:axId val="507152976"/>
      </c:barChart>
      <c:catAx>
        <c:axId val="50715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152976"/>
        <c:crosses val="autoZero"/>
        <c:auto val="1"/>
        <c:lblAlgn val="ctr"/>
        <c:lblOffset val="100"/>
        <c:noMultiLvlLbl val="0"/>
      </c:catAx>
      <c:valAx>
        <c:axId val="507152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Area (hectares)</a:t>
                </a:r>
              </a:p>
            </c:rich>
          </c:tx>
          <c:layout>
            <c:manualLayout>
              <c:xMode val="edge"/>
              <c:yMode val="edge"/>
              <c:x val="2.0512820512820513E-2"/>
              <c:y val="0.2402644954148385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152320"/>
        <c:crosses val="autoZero"/>
        <c:crossBetween val="between"/>
      </c:valAx>
      <c:spPr>
        <a:noFill/>
        <a:ln>
          <a:noFill/>
        </a:ln>
        <a:effectLst/>
      </c:spPr>
    </c:plotArea>
    <c:legend>
      <c:legendPos val="b"/>
      <c:layout>
        <c:manualLayout>
          <c:xMode val="edge"/>
          <c:yMode val="edge"/>
          <c:x val="0.17349651945680708"/>
          <c:y val="0.80042754089701051"/>
          <c:w val="0.65201938219261069"/>
          <c:h val="0.17169195662816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70809989918197"/>
          <c:y val="5.6237218813905927E-2"/>
          <c:w val="0.85816494169995361"/>
          <c:h val="0.5642706471507013"/>
        </c:manualLayout>
      </c:layout>
      <c:lineChart>
        <c:grouping val="standard"/>
        <c:varyColors val="0"/>
        <c:ser>
          <c:idx val="0"/>
          <c:order val="0"/>
          <c:tx>
            <c:strRef>
              <c:f>Biodiversity!$A$17</c:f>
              <c:strCache>
                <c:ptCount val="1"/>
                <c:pt idx="0">
                  <c:v>Ramsar site</c:v>
                </c:pt>
              </c:strCache>
            </c:strRef>
          </c:tx>
          <c:spPr>
            <a:ln w="28575" cap="rnd">
              <a:solidFill>
                <a:schemeClr val="tx1"/>
              </a:solidFill>
              <a:round/>
            </a:ln>
            <a:effectLst/>
          </c:spPr>
          <c:marker>
            <c:symbol val="none"/>
          </c:marker>
          <c:dLbls>
            <c:delete val="1"/>
          </c:dLbls>
          <c:cat>
            <c:strRef>
              <c:f>Biodiversity!$B$16:$T$16</c:f>
              <c:strCache>
                <c:ptCount val="19"/>
                <c:pt idx="0">
                  <c:v>2006 - 07</c:v>
                </c:pt>
                <c:pt idx="1">
                  <c:v>2007 - 08</c:v>
                </c:pt>
                <c:pt idx="2">
                  <c:v>2008 - 09</c:v>
                </c:pt>
                <c:pt idx="3">
                  <c:v>2009 - 10</c:v>
                </c:pt>
                <c:pt idx="4">
                  <c:v>2010 - 11</c:v>
                </c:pt>
                <c:pt idx="5">
                  <c:v>2011 - 12</c:v>
                </c:pt>
                <c:pt idx="6">
                  <c:v>2012 -13</c:v>
                </c:pt>
                <c:pt idx="7">
                  <c:v>2013 - 14</c:v>
                </c:pt>
                <c:pt idx="8">
                  <c:v>2014 - 15</c:v>
                </c:pt>
                <c:pt idx="9">
                  <c:v>2015 - 16</c:v>
                </c:pt>
                <c:pt idx="10">
                  <c:v>2016 - 17</c:v>
                </c:pt>
                <c:pt idx="11">
                  <c:v>2017 - 18</c:v>
                </c:pt>
                <c:pt idx="12">
                  <c:v>2018 - 19</c:v>
                </c:pt>
                <c:pt idx="13">
                  <c:v>2019 - 20</c:v>
                </c:pt>
                <c:pt idx="14">
                  <c:v>2020 - 21</c:v>
                </c:pt>
                <c:pt idx="15">
                  <c:v>2021 - 22</c:v>
                </c:pt>
                <c:pt idx="16">
                  <c:v>2022 - 23</c:v>
                </c:pt>
                <c:pt idx="17">
                  <c:v>2023 - 24</c:v>
                </c:pt>
                <c:pt idx="18">
                  <c:v>2024 - 25</c:v>
                </c:pt>
              </c:strCache>
            </c:strRef>
          </c:cat>
          <c:val>
            <c:numRef>
              <c:f>Biodiversity!$B$17:$T$17</c:f>
              <c:numCache>
                <c:formatCode>#,##0</c:formatCode>
                <c:ptCount val="19"/>
                <c:pt idx="0">
                  <c:v>30131</c:v>
                </c:pt>
                <c:pt idx="1">
                  <c:v>30151</c:v>
                </c:pt>
                <c:pt idx="2">
                  <c:v>30152</c:v>
                </c:pt>
                <c:pt idx="3">
                  <c:v>30152</c:v>
                </c:pt>
                <c:pt idx="4">
                  <c:v>30152</c:v>
                </c:pt>
                <c:pt idx="5">
                  <c:v>30152</c:v>
                </c:pt>
                <c:pt idx="6">
                  <c:v>30152</c:v>
                </c:pt>
                <c:pt idx="7">
                  <c:v>30152</c:v>
                </c:pt>
                <c:pt idx="8">
                  <c:v>30152</c:v>
                </c:pt>
                <c:pt idx="9">
                  <c:v>30152</c:v>
                </c:pt>
                <c:pt idx="10">
                  <c:v>30151</c:v>
                </c:pt>
                <c:pt idx="11">
                  <c:v>30149</c:v>
                </c:pt>
                <c:pt idx="12">
                  <c:v>30151</c:v>
                </c:pt>
                <c:pt idx="13">
                  <c:v>30151</c:v>
                </c:pt>
                <c:pt idx="14">
                  <c:v>30151</c:v>
                </c:pt>
                <c:pt idx="15">
                  <c:v>30151</c:v>
                </c:pt>
                <c:pt idx="16">
                  <c:v>30151</c:v>
                </c:pt>
                <c:pt idx="17">
                  <c:v>30151</c:v>
                </c:pt>
                <c:pt idx="18">
                  <c:v>30151</c:v>
                </c:pt>
              </c:numCache>
            </c:numRef>
          </c:val>
          <c:smooth val="0"/>
          <c:extLst>
            <c:ext xmlns:c16="http://schemas.microsoft.com/office/drawing/2014/chart" uri="{C3380CC4-5D6E-409C-BE32-E72D297353CC}">
              <c16:uniqueId val="{00000000-9EB7-48CC-87DD-CAA63FF49CEE}"/>
            </c:ext>
          </c:extLst>
        </c:ser>
        <c:ser>
          <c:idx val="1"/>
          <c:order val="1"/>
          <c:tx>
            <c:strRef>
              <c:f>Biodiversity!$A$18</c:f>
              <c:strCache>
                <c:ptCount val="1"/>
                <c:pt idx="0">
                  <c:v>BAP Priority Habitat area (ha)</c:v>
                </c:pt>
              </c:strCache>
            </c:strRef>
          </c:tx>
          <c:spPr>
            <a:ln w="28575" cap="rnd">
              <a:solidFill>
                <a:schemeClr val="tx1"/>
              </a:solidFill>
              <a:prstDash val="dash"/>
              <a:round/>
            </a:ln>
            <a:effectLst/>
          </c:spPr>
          <c:marker>
            <c:symbol val="none"/>
          </c:marker>
          <c:dLbls>
            <c:delete val="1"/>
          </c:dLbls>
          <c:cat>
            <c:strRef>
              <c:f>Biodiversity!$B$16:$T$16</c:f>
              <c:strCache>
                <c:ptCount val="19"/>
                <c:pt idx="0">
                  <c:v>2006 - 07</c:v>
                </c:pt>
                <c:pt idx="1">
                  <c:v>2007 - 08</c:v>
                </c:pt>
                <c:pt idx="2">
                  <c:v>2008 - 09</c:v>
                </c:pt>
                <c:pt idx="3">
                  <c:v>2009 - 10</c:v>
                </c:pt>
                <c:pt idx="4">
                  <c:v>2010 - 11</c:v>
                </c:pt>
                <c:pt idx="5">
                  <c:v>2011 - 12</c:v>
                </c:pt>
                <c:pt idx="6">
                  <c:v>2012 -13</c:v>
                </c:pt>
                <c:pt idx="7">
                  <c:v>2013 - 14</c:v>
                </c:pt>
                <c:pt idx="8">
                  <c:v>2014 - 15</c:v>
                </c:pt>
                <c:pt idx="9">
                  <c:v>2015 - 16</c:v>
                </c:pt>
                <c:pt idx="10">
                  <c:v>2016 - 17</c:v>
                </c:pt>
                <c:pt idx="11">
                  <c:v>2017 - 18</c:v>
                </c:pt>
                <c:pt idx="12">
                  <c:v>2018 - 19</c:v>
                </c:pt>
                <c:pt idx="13">
                  <c:v>2019 - 20</c:v>
                </c:pt>
                <c:pt idx="14">
                  <c:v>2020 - 21</c:v>
                </c:pt>
                <c:pt idx="15">
                  <c:v>2021 - 22</c:v>
                </c:pt>
                <c:pt idx="16">
                  <c:v>2022 - 23</c:v>
                </c:pt>
                <c:pt idx="17">
                  <c:v>2023 - 24</c:v>
                </c:pt>
                <c:pt idx="18">
                  <c:v>2024 - 25</c:v>
                </c:pt>
              </c:strCache>
            </c:strRef>
          </c:cat>
          <c:val>
            <c:numRef>
              <c:f>Biodiversity!$B$18:$T$18</c:f>
              <c:numCache>
                <c:formatCode>#,##0</c:formatCode>
                <c:ptCount val="19"/>
                <c:pt idx="0">
                  <c:v>27048</c:v>
                </c:pt>
                <c:pt idx="1">
                  <c:v>27672</c:v>
                </c:pt>
                <c:pt idx="2">
                  <c:v>27693</c:v>
                </c:pt>
                <c:pt idx="3">
                  <c:v>29099</c:v>
                </c:pt>
                <c:pt idx="4">
                  <c:v>29099</c:v>
                </c:pt>
                <c:pt idx="5">
                  <c:v>30483</c:v>
                </c:pt>
                <c:pt idx="6">
                  <c:v>30524</c:v>
                </c:pt>
                <c:pt idx="7">
                  <c:v>30677</c:v>
                </c:pt>
                <c:pt idx="8">
                  <c:v>30677</c:v>
                </c:pt>
                <c:pt idx="9">
                  <c:v>30605</c:v>
                </c:pt>
                <c:pt idx="10">
                  <c:v>30613</c:v>
                </c:pt>
                <c:pt idx="11">
                  <c:v>30605</c:v>
                </c:pt>
                <c:pt idx="12">
                  <c:v>30594</c:v>
                </c:pt>
                <c:pt idx="13">
                  <c:v>30590</c:v>
                </c:pt>
                <c:pt idx="14">
                  <c:v>30475</c:v>
                </c:pt>
                <c:pt idx="15">
                  <c:v>30536</c:v>
                </c:pt>
                <c:pt idx="16">
                  <c:v>30525</c:v>
                </c:pt>
                <c:pt idx="17">
                  <c:v>30735</c:v>
                </c:pt>
                <c:pt idx="18">
                  <c:v>30881</c:v>
                </c:pt>
              </c:numCache>
            </c:numRef>
          </c:val>
          <c:smooth val="0"/>
          <c:extLst>
            <c:ext xmlns:c16="http://schemas.microsoft.com/office/drawing/2014/chart" uri="{C3380CC4-5D6E-409C-BE32-E72D297353CC}">
              <c16:uniqueId val="{00000001-9EB7-48CC-87DD-CAA63FF49CEE}"/>
            </c:ext>
          </c:extLst>
        </c:ser>
        <c:ser>
          <c:idx val="2"/>
          <c:order val="2"/>
          <c:tx>
            <c:strRef>
              <c:f>Biodiversity!$A$19</c:f>
              <c:strCache>
                <c:ptCount val="1"/>
                <c:pt idx="0">
                  <c:v>Special Area of Conservation (SAC)</c:v>
                </c:pt>
              </c:strCache>
            </c:strRef>
          </c:tx>
          <c:spPr>
            <a:ln w="25400" cap="rnd">
              <a:solidFill>
                <a:schemeClr val="bg1">
                  <a:lumMod val="65000"/>
                </a:schemeClr>
              </a:solidFill>
              <a:round/>
            </a:ln>
            <a:effectLst/>
          </c:spPr>
          <c:marker>
            <c:symbol val="none"/>
          </c:marker>
          <c:dLbls>
            <c:delete val="1"/>
          </c:dLbls>
          <c:cat>
            <c:strRef>
              <c:f>Biodiversity!$B$16:$T$16</c:f>
              <c:strCache>
                <c:ptCount val="19"/>
                <c:pt idx="0">
                  <c:v>2006 - 07</c:v>
                </c:pt>
                <c:pt idx="1">
                  <c:v>2007 - 08</c:v>
                </c:pt>
                <c:pt idx="2">
                  <c:v>2008 - 09</c:v>
                </c:pt>
                <c:pt idx="3">
                  <c:v>2009 - 10</c:v>
                </c:pt>
                <c:pt idx="4">
                  <c:v>2010 - 11</c:v>
                </c:pt>
                <c:pt idx="5">
                  <c:v>2011 - 12</c:v>
                </c:pt>
                <c:pt idx="6">
                  <c:v>2012 -13</c:v>
                </c:pt>
                <c:pt idx="7">
                  <c:v>2013 - 14</c:v>
                </c:pt>
                <c:pt idx="8">
                  <c:v>2014 - 15</c:v>
                </c:pt>
                <c:pt idx="9">
                  <c:v>2015 - 16</c:v>
                </c:pt>
                <c:pt idx="10">
                  <c:v>2016 - 17</c:v>
                </c:pt>
                <c:pt idx="11">
                  <c:v>2017 - 18</c:v>
                </c:pt>
                <c:pt idx="12">
                  <c:v>2018 - 19</c:v>
                </c:pt>
                <c:pt idx="13">
                  <c:v>2019 - 20</c:v>
                </c:pt>
                <c:pt idx="14">
                  <c:v>2020 - 21</c:v>
                </c:pt>
                <c:pt idx="15">
                  <c:v>2021 - 22</c:v>
                </c:pt>
                <c:pt idx="16">
                  <c:v>2022 - 23</c:v>
                </c:pt>
                <c:pt idx="17">
                  <c:v>2023 - 24</c:v>
                </c:pt>
                <c:pt idx="18">
                  <c:v>2024 - 25</c:v>
                </c:pt>
              </c:strCache>
            </c:strRef>
          </c:cat>
          <c:val>
            <c:numRef>
              <c:f>Biodiversity!$B$19:$T$19</c:f>
              <c:numCache>
                <c:formatCode>#,##0</c:formatCode>
                <c:ptCount val="19"/>
                <c:pt idx="0">
                  <c:v>30223</c:v>
                </c:pt>
                <c:pt idx="1">
                  <c:v>30642</c:v>
                </c:pt>
                <c:pt idx="2">
                  <c:v>30643</c:v>
                </c:pt>
                <c:pt idx="3">
                  <c:v>30643</c:v>
                </c:pt>
                <c:pt idx="4">
                  <c:v>30643</c:v>
                </c:pt>
                <c:pt idx="5">
                  <c:v>30643</c:v>
                </c:pt>
                <c:pt idx="6">
                  <c:v>30643</c:v>
                </c:pt>
                <c:pt idx="7">
                  <c:v>30643</c:v>
                </c:pt>
                <c:pt idx="8">
                  <c:v>30643</c:v>
                </c:pt>
                <c:pt idx="9">
                  <c:v>30643</c:v>
                </c:pt>
                <c:pt idx="10">
                  <c:v>30641</c:v>
                </c:pt>
                <c:pt idx="11">
                  <c:v>30641</c:v>
                </c:pt>
                <c:pt idx="12">
                  <c:v>30641</c:v>
                </c:pt>
                <c:pt idx="13">
                  <c:v>30641</c:v>
                </c:pt>
                <c:pt idx="14">
                  <c:v>30643</c:v>
                </c:pt>
                <c:pt idx="15">
                  <c:v>30641</c:v>
                </c:pt>
                <c:pt idx="16">
                  <c:v>30641</c:v>
                </c:pt>
                <c:pt idx="17">
                  <c:v>30641</c:v>
                </c:pt>
                <c:pt idx="18">
                  <c:v>30641</c:v>
                </c:pt>
              </c:numCache>
            </c:numRef>
          </c:val>
          <c:smooth val="0"/>
          <c:extLst>
            <c:ext xmlns:c16="http://schemas.microsoft.com/office/drawing/2014/chart" uri="{C3380CC4-5D6E-409C-BE32-E72D297353CC}">
              <c16:uniqueId val="{00000002-9EB7-48CC-87DD-CAA63FF49CEE}"/>
            </c:ext>
          </c:extLst>
        </c:ser>
        <c:ser>
          <c:idx val="3"/>
          <c:order val="3"/>
          <c:tx>
            <c:strRef>
              <c:f>Biodiversity!$A$20</c:f>
              <c:strCache>
                <c:ptCount val="1"/>
                <c:pt idx="0">
                  <c:v>Special Protection Area (SPA)</c:v>
                </c:pt>
              </c:strCache>
            </c:strRef>
          </c:tx>
          <c:spPr>
            <a:ln w="50800" cap="rnd">
              <a:solidFill>
                <a:schemeClr val="tx1">
                  <a:lumMod val="50000"/>
                  <a:lumOff val="50000"/>
                </a:schemeClr>
              </a:solidFill>
              <a:prstDash val="sysDot"/>
              <a:round/>
            </a:ln>
            <a:effectLst/>
          </c:spPr>
          <c:marker>
            <c:symbol val="none"/>
          </c:marker>
          <c:dLbls>
            <c:delete val="1"/>
          </c:dLbls>
          <c:cat>
            <c:strRef>
              <c:f>Biodiversity!$B$16:$T$16</c:f>
              <c:strCache>
                <c:ptCount val="19"/>
                <c:pt idx="0">
                  <c:v>2006 - 07</c:v>
                </c:pt>
                <c:pt idx="1">
                  <c:v>2007 - 08</c:v>
                </c:pt>
                <c:pt idx="2">
                  <c:v>2008 - 09</c:v>
                </c:pt>
                <c:pt idx="3">
                  <c:v>2009 - 10</c:v>
                </c:pt>
                <c:pt idx="4">
                  <c:v>2010 - 11</c:v>
                </c:pt>
                <c:pt idx="5">
                  <c:v>2011 - 12</c:v>
                </c:pt>
                <c:pt idx="6">
                  <c:v>2012 -13</c:v>
                </c:pt>
                <c:pt idx="7">
                  <c:v>2013 - 14</c:v>
                </c:pt>
                <c:pt idx="8">
                  <c:v>2014 - 15</c:v>
                </c:pt>
                <c:pt idx="9">
                  <c:v>2015 - 16</c:v>
                </c:pt>
                <c:pt idx="10">
                  <c:v>2016 - 17</c:v>
                </c:pt>
                <c:pt idx="11">
                  <c:v>2017 - 18</c:v>
                </c:pt>
                <c:pt idx="12">
                  <c:v>2018 - 19</c:v>
                </c:pt>
                <c:pt idx="13">
                  <c:v>2019 - 20</c:v>
                </c:pt>
                <c:pt idx="14">
                  <c:v>2020 - 21</c:v>
                </c:pt>
                <c:pt idx="15">
                  <c:v>2021 - 22</c:v>
                </c:pt>
                <c:pt idx="16">
                  <c:v>2022 - 23</c:v>
                </c:pt>
                <c:pt idx="17">
                  <c:v>2023 - 24</c:v>
                </c:pt>
                <c:pt idx="18">
                  <c:v>2024 - 25</c:v>
                </c:pt>
              </c:strCache>
            </c:strRef>
          </c:cat>
          <c:val>
            <c:numRef>
              <c:f>Biodiversity!$B$20:$T$20</c:f>
              <c:numCache>
                <c:formatCode>#,##0</c:formatCode>
                <c:ptCount val="19"/>
                <c:pt idx="0">
                  <c:v>30101</c:v>
                </c:pt>
                <c:pt idx="1">
                  <c:v>30120</c:v>
                </c:pt>
                <c:pt idx="2">
                  <c:v>30122</c:v>
                </c:pt>
                <c:pt idx="3">
                  <c:v>30122</c:v>
                </c:pt>
                <c:pt idx="4">
                  <c:v>30122</c:v>
                </c:pt>
                <c:pt idx="5">
                  <c:v>30122</c:v>
                </c:pt>
                <c:pt idx="6">
                  <c:v>30122</c:v>
                </c:pt>
                <c:pt idx="7">
                  <c:v>30122</c:v>
                </c:pt>
                <c:pt idx="8">
                  <c:v>30122</c:v>
                </c:pt>
                <c:pt idx="9">
                  <c:v>30122</c:v>
                </c:pt>
                <c:pt idx="10">
                  <c:v>30121</c:v>
                </c:pt>
                <c:pt idx="11">
                  <c:v>30119</c:v>
                </c:pt>
                <c:pt idx="12">
                  <c:v>30121</c:v>
                </c:pt>
                <c:pt idx="13">
                  <c:v>30121</c:v>
                </c:pt>
                <c:pt idx="14">
                  <c:v>30123</c:v>
                </c:pt>
                <c:pt idx="15">
                  <c:v>30122</c:v>
                </c:pt>
                <c:pt idx="16">
                  <c:v>30122</c:v>
                </c:pt>
                <c:pt idx="17">
                  <c:v>30122</c:v>
                </c:pt>
                <c:pt idx="18">
                  <c:v>30122</c:v>
                </c:pt>
              </c:numCache>
            </c:numRef>
          </c:val>
          <c:smooth val="0"/>
          <c:extLst>
            <c:ext xmlns:c16="http://schemas.microsoft.com/office/drawing/2014/chart" uri="{C3380CC4-5D6E-409C-BE32-E72D297353CC}">
              <c16:uniqueId val="{00000003-9EB7-48CC-87DD-CAA63FF49CEE}"/>
            </c:ext>
          </c:extLst>
        </c:ser>
        <c:ser>
          <c:idx val="4"/>
          <c:order val="4"/>
          <c:tx>
            <c:strRef>
              <c:f>Biodiversity!$A$21</c:f>
              <c:strCache>
                <c:ptCount val="1"/>
                <c:pt idx="0">
                  <c:v>Sites of Special Scientific Interest (SSSI)</c:v>
                </c:pt>
              </c:strCache>
            </c:strRef>
          </c:tx>
          <c:spPr>
            <a:ln w="50800" cap="rnd">
              <a:solidFill>
                <a:schemeClr val="bg1">
                  <a:lumMod val="75000"/>
                </a:schemeClr>
              </a:solidFill>
              <a:prstDash val="solid"/>
              <a:round/>
            </a:ln>
            <a:effectLst/>
          </c:spPr>
          <c:marker>
            <c:symbol val="none"/>
          </c:marker>
          <c:dLbls>
            <c:delete val="1"/>
          </c:dLbls>
          <c:cat>
            <c:strRef>
              <c:f>Biodiversity!$B$16:$T$16</c:f>
              <c:strCache>
                <c:ptCount val="19"/>
                <c:pt idx="0">
                  <c:v>2006 - 07</c:v>
                </c:pt>
                <c:pt idx="1">
                  <c:v>2007 - 08</c:v>
                </c:pt>
                <c:pt idx="2">
                  <c:v>2008 - 09</c:v>
                </c:pt>
                <c:pt idx="3">
                  <c:v>2009 - 10</c:v>
                </c:pt>
                <c:pt idx="4">
                  <c:v>2010 - 11</c:v>
                </c:pt>
                <c:pt idx="5">
                  <c:v>2011 - 12</c:v>
                </c:pt>
                <c:pt idx="6">
                  <c:v>2012 -13</c:v>
                </c:pt>
                <c:pt idx="7">
                  <c:v>2013 - 14</c:v>
                </c:pt>
                <c:pt idx="8">
                  <c:v>2014 - 15</c:v>
                </c:pt>
                <c:pt idx="9">
                  <c:v>2015 - 16</c:v>
                </c:pt>
                <c:pt idx="10">
                  <c:v>2016 - 17</c:v>
                </c:pt>
                <c:pt idx="11">
                  <c:v>2017 - 18</c:v>
                </c:pt>
                <c:pt idx="12">
                  <c:v>2018 - 19</c:v>
                </c:pt>
                <c:pt idx="13">
                  <c:v>2019 - 20</c:v>
                </c:pt>
                <c:pt idx="14">
                  <c:v>2020 - 21</c:v>
                </c:pt>
                <c:pt idx="15">
                  <c:v>2021 - 22</c:v>
                </c:pt>
                <c:pt idx="16">
                  <c:v>2022 - 23</c:v>
                </c:pt>
                <c:pt idx="17">
                  <c:v>2023 - 24</c:v>
                </c:pt>
                <c:pt idx="18">
                  <c:v>2024 - 25</c:v>
                </c:pt>
              </c:strCache>
            </c:strRef>
          </c:cat>
          <c:val>
            <c:numRef>
              <c:f>Biodiversity!$B$21:$T$21</c:f>
              <c:numCache>
                <c:formatCode>#,##0</c:formatCode>
                <c:ptCount val="19"/>
                <c:pt idx="0">
                  <c:v>31702</c:v>
                </c:pt>
                <c:pt idx="1">
                  <c:v>32189</c:v>
                </c:pt>
                <c:pt idx="2">
                  <c:v>32190</c:v>
                </c:pt>
                <c:pt idx="3">
                  <c:v>32190</c:v>
                </c:pt>
                <c:pt idx="4">
                  <c:v>32190</c:v>
                </c:pt>
                <c:pt idx="5">
                  <c:v>32190</c:v>
                </c:pt>
                <c:pt idx="6">
                  <c:v>32190</c:v>
                </c:pt>
                <c:pt idx="7">
                  <c:v>32190</c:v>
                </c:pt>
                <c:pt idx="8">
                  <c:v>32190</c:v>
                </c:pt>
                <c:pt idx="9">
                  <c:v>32190</c:v>
                </c:pt>
                <c:pt idx="10">
                  <c:v>32189</c:v>
                </c:pt>
                <c:pt idx="11">
                  <c:v>32187</c:v>
                </c:pt>
                <c:pt idx="12">
                  <c:v>32189</c:v>
                </c:pt>
                <c:pt idx="13">
                  <c:v>32189</c:v>
                </c:pt>
                <c:pt idx="14">
                  <c:v>32189</c:v>
                </c:pt>
                <c:pt idx="15">
                  <c:v>32189</c:v>
                </c:pt>
                <c:pt idx="16">
                  <c:v>32189</c:v>
                </c:pt>
                <c:pt idx="17">
                  <c:v>32189</c:v>
                </c:pt>
                <c:pt idx="18">
                  <c:v>32189</c:v>
                </c:pt>
              </c:numCache>
            </c:numRef>
          </c:val>
          <c:smooth val="0"/>
          <c:extLst>
            <c:ext xmlns:c16="http://schemas.microsoft.com/office/drawing/2014/chart" uri="{C3380CC4-5D6E-409C-BE32-E72D297353CC}">
              <c16:uniqueId val="{00000004-9EB7-48CC-87DD-CAA63FF49CEE}"/>
            </c:ext>
          </c:extLst>
        </c:ser>
        <c:dLbls>
          <c:showLegendKey val="0"/>
          <c:showVal val="1"/>
          <c:showCatName val="0"/>
          <c:showSerName val="0"/>
          <c:showPercent val="0"/>
          <c:showBubbleSize val="0"/>
        </c:dLbls>
        <c:smooth val="0"/>
        <c:axId val="511629944"/>
        <c:axId val="511627320"/>
      </c:lineChart>
      <c:catAx>
        <c:axId val="511629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627320"/>
        <c:crosses val="autoZero"/>
        <c:auto val="1"/>
        <c:lblAlgn val="ctr"/>
        <c:lblOffset val="100"/>
        <c:noMultiLvlLbl val="0"/>
      </c:catAx>
      <c:valAx>
        <c:axId val="511627320"/>
        <c:scaling>
          <c:orientation val="minMax"/>
        </c:scaling>
        <c:delete val="0"/>
        <c:axPos val="l"/>
        <c:majorGridlines>
          <c:spPr>
            <a:ln w="12700" cap="flat" cmpd="sng" algn="ctr">
              <a:solidFill>
                <a:schemeClr val="tx1">
                  <a:lumMod val="15000"/>
                  <a:lumOff val="85000"/>
                  <a:alpha val="21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Area (hectares)</a:t>
                </a:r>
              </a:p>
            </c:rich>
          </c:tx>
          <c:layout>
            <c:manualLayout>
              <c:xMode val="edge"/>
              <c:yMode val="edge"/>
              <c:x val="1.7316017316017316E-2"/>
              <c:y val="0.23896978844510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629944"/>
        <c:crosses val="autoZero"/>
        <c:crossBetween val="between"/>
      </c:valAx>
      <c:spPr>
        <a:noFill/>
        <a:ln>
          <a:solidFill>
            <a:schemeClr val="bg1">
              <a:lumMod val="75000"/>
            </a:schemeClr>
          </a:solidFill>
        </a:ln>
        <a:effectLst/>
      </c:spPr>
    </c:plotArea>
    <c:legend>
      <c:legendPos val="b"/>
      <c:layout>
        <c:manualLayout>
          <c:xMode val="edge"/>
          <c:yMode val="edge"/>
          <c:x val="5.4320093105244958E-2"/>
          <c:y val="0.80777797594389911"/>
          <c:w val="0.85672758437662822"/>
          <c:h val="0.170512387313594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w="0">
              <a:noFill/>
            </a:ln>
            <a:effectLst/>
          </c:spPr>
          <c:invertIfNegative val="0"/>
          <c:cat>
            <c:strRef>
              <c:f>('LP Refusals'!$H$62:$H$63,'LP Refusals'!$H$65,'LP Refusals'!$H$67:$H$71)</c:f>
              <c:strCache>
                <c:ptCount val="8"/>
                <c:pt idx="0">
                  <c:v>Design issues</c:v>
                </c:pt>
                <c:pt idx="1">
                  <c:v>Impact on historic environment</c:v>
                </c:pt>
                <c:pt idx="2">
                  <c:v>Over enlargement issues</c:v>
                </c:pt>
                <c:pt idx="3">
                  <c:v>Impact on nature conservation</c:v>
                </c:pt>
                <c:pt idx="4">
                  <c:v>Impact on trees</c:v>
                </c:pt>
                <c:pt idx="5">
                  <c:v>Landscape impact</c:v>
                </c:pt>
                <c:pt idx="6">
                  <c:v>Residential amenity</c:v>
                </c:pt>
                <c:pt idx="7">
                  <c:v>Traffic / highway safety</c:v>
                </c:pt>
              </c:strCache>
              <c:extLst/>
            </c:strRef>
          </c:cat>
          <c:val>
            <c:numRef>
              <c:f>('LP Refusals'!$I$62:$I$63,'LP Refusals'!$I$65,'LP Refusals'!$I$67:$I$71)</c:f>
              <c:numCache>
                <c:formatCode>General</c:formatCode>
                <c:ptCount val="8"/>
                <c:pt idx="0">
                  <c:v>17</c:v>
                </c:pt>
                <c:pt idx="1">
                  <c:v>8</c:v>
                </c:pt>
                <c:pt idx="2">
                  <c:v>4</c:v>
                </c:pt>
                <c:pt idx="3">
                  <c:v>4</c:v>
                </c:pt>
                <c:pt idx="4">
                  <c:v>1</c:v>
                </c:pt>
                <c:pt idx="5">
                  <c:v>10</c:v>
                </c:pt>
                <c:pt idx="6">
                  <c:v>1</c:v>
                </c:pt>
                <c:pt idx="7">
                  <c:v>2</c:v>
                </c:pt>
              </c:numCache>
              <c:extLst/>
            </c:numRef>
          </c:val>
          <c:extLst>
            <c:ext xmlns:c16="http://schemas.microsoft.com/office/drawing/2014/chart" uri="{C3380CC4-5D6E-409C-BE32-E72D297353CC}">
              <c16:uniqueId val="{00000000-22B7-4906-8F90-E45039620DFD}"/>
            </c:ext>
          </c:extLst>
        </c:ser>
        <c:dLbls>
          <c:showLegendKey val="0"/>
          <c:showVal val="0"/>
          <c:showCatName val="0"/>
          <c:showSerName val="0"/>
          <c:showPercent val="0"/>
          <c:showBubbleSize val="0"/>
        </c:dLbls>
        <c:gapWidth val="100"/>
        <c:axId val="541785488"/>
        <c:axId val="541786928"/>
      </c:barChart>
      <c:catAx>
        <c:axId val="541785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41786928"/>
        <c:crosses val="autoZero"/>
        <c:auto val="1"/>
        <c:lblAlgn val="ctr"/>
        <c:lblOffset val="100"/>
        <c:noMultiLvlLbl val="0"/>
      </c:catAx>
      <c:valAx>
        <c:axId val="5417869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planning applications</a:t>
                </a:r>
              </a:p>
            </c:rich>
          </c:tx>
          <c:layout>
            <c:manualLayout>
              <c:xMode val="edge"/>
              <c:yMode val="edge"/>
              <c:x val="0.29761539974967244"/>
              <c:y val="0.873970022039927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785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9618196653442824E-2"/>
          <c:y val="0.27106601214597131"/>
          <c:w val="0.71995619513078102"/>
          <c:h val="0.68518507042325405"/>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EF9-487F-8AE3-4D6879DF5AA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EF9-487F-8AE3-4D6879DF5AA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EF9-487F-8AE3-4D6879DF5AA6}"/>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EF9-487F-8AE3-4D6879DF5AA6}"/>
              </c:ext>
            </c:extLst>
          </c:dPt>
          <c:dLbls>
            <c:dLbl>
              <c:idx val="0"/>
              <c:layout>
                <c:manualLayout>
                  <c:x val="-5.8880977358687837E-2"/>
                  <c:y val="-0.57973072403606452"/>
                </c:manualLayout>
              </c:layout>
              <c:tx>
                <c:rich>
                  <a:bodyPr rot="0" spcFirstLastPara="1" vertOverflow="ellipsis" vert="horz" wrap="square" lIns="38100" tIns="19050" rIns="38100" bIns="19050" anchor="ctr" anchorCtr="1">
                    <a:noAutofit/>
                  </a:bodyPr>
                  <a:lstStyle/>
                  <a:p>
                    <a:pPr>
                      <a:defRPr sz="11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610559A7-3A66-45B2-BD9D-275DA2E2B2AD}" type="CATEGORYNAME">
                      <a:rPr lang="en-US" sz="1100"/>
                      <a:pPr>
                        <a:defRPr sz="1100">
                          <a:solidFill>
                            <a:sysClr val="windowText" lastClr="000000"/>
                          </a:solidFill>
                          <a:latin typeface="Arial" panose="020B0604020202020204" pitchFamily="34" charset="0"/>
                          <a:cs typeface="Arial" panose="020B0604020202020204" pitchFamily="34" charset="0"/>
                        </a:defRPr>
                      </a:pPr>
                      <a:t>[CATEGORY NAME]</a:t>
                    </a:fld>
                    <a:r>
                      <a:rPr lang="en-US" sz="1100" baseline="0"/>
                      <a:t>
</a:t>
                    </a:r>
                    <a:fld id="{D0E34871-6E9E-428F-A005-C8E7A4737C3A}" type="PERCENTAGE">
                      <a:rPr lang="en-US" sz="1100" baseline="0"/>
                      <a:pPr>
                        <a:defRPr sz="1100">
                          <a:solidFill>
                            <a:sysClr val="windowText" lastClr="000000"/>
                          </a:solidFill>
                          <a:latin typeface="Arial" panose="020B0604020202020204" pitchFamily="34" charset="0"/>
                          <a:cs typeface="Arial" panose="020B0604020202020204" pitchFamily="34" charset="0"/>
                        </a:defRPr>
                      </a:pPr>
                      <a:t>[PERCENTAGE]</a:t>
                    </a:fld>
                    <a:endParaRPr lang="en-US" sz="1100" baseline="0"/>
                  </a:p>
                  <a:p>
                    <a:pPr>
                      <a:defRPr sz="1100">
                        <a:solidFill>
                          <a:sysClr val="windowText" lastClr="000000"/>
                        </a:solidFill>
                        <a:latin typeface="Arial" panose="020B0604020202020204" pitchFamily="34" charset="0"/>
                        <a:cs typeface="Arial" panose="020B0604020202020204" pitchFamily="34" charset="0"/>
                      </a:defRPr>
                    </a:pPr>
                    <a:r>
                      <a:rPr lang="en-US" sz="1100" b="0" baseline="0"/>
                      <a:t>48% last year</a:t>
                    </a:r>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7064507441929634"/>
                      <c:h val="0.33602664206723115"/>
                    </c:manualLayout>
                  </c15:layout>
                  <c15:dlblFieldTable/>
                  <c15:showDataLabelsRange val="0"/>
                </c:ext>
                <c:ext xmlns:c16="http://schemas.microsoft.com/office/drawing/2014/chart" uri="{C3380CC4-5D6E-409C-BE32-E72D297353CC}">
                  <c16:uniqueId val="{00000001-6EF9-487F-8AE3-4D6879DF5AA6}"/>
                </c:ext>
              </c:extLst>
            </c:dLbl>
            <c:dLbl>
              <c:idx val="1"/>
              <c:layout>
                <c:manualLayout>
                  <c:x val="1.7743666421482891E-3"/>
                  <c:y val="-5.5107128345358546E-3"/>
                </c:manualLayout>
              </c:layout>
              <c:tx>
                <c:rich>
                  <a:bodyPr rot="0" spcFirstLastPara="1" vertOverflow="ellipsis" vert="horz" wrap="square" lIns="38100" tIns="19050" rIns="38100" bIns="19050" anchor="ctr" anchorCtr="1">
                    <a:noAutofit/>
                  </a:bodyPr>
                  <a:lstStyle/>
                  <a:p>
                    <a:pPr>
                      <a:defRPr sz="11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768C7351-BB53-49DE-BC29-61908DDFA366}" type="CATEGORYNAME">
                      <a:rPr lang="en-US" sz="1100"/>
                      <a:pPr>
                        <a:defRPr sz="1100">
                          <a:solidFill>
                            <a:sysClr val="windowText" lastClr="000000"/>
                          </a:solidFill>
                          <a:latin typeface="Arial" panose="020B0604020202020204" pitchFamily="34" charset="0"/>
                          <a:cs typeface="Arial" panose="020B0604020202020204" pitchFamily="34" charset="0"/>
                        </a:defRPr>
                      </a:pPr>
                      <a:t>[CATEGORY NAME]</a:t>
                    </a:fld>
                    <a:r>
                      <a:rPr lang="en-US" sz="1100" baseline="0"/>
                      <a:t>
</a:t>
                    </a:r>
                    <a:fld id="{7E486842-13A6-49D2-BD22-4E5D0264B3C7}" type="PERCENTAGE">
                      <a:rPr lang="en-US" sz="1100" baseline="0"/>
                      <a:pPr>
                        <a:defRPr sz="1100">
                          <a:solidFill>
                            <a:sysClr val="windowText" lastClr="000000"/>
                          </a:solidFill>
                          <a:latin typeface="Arial" panose="020B0604020202020204" pitchFamily="34" charset="0"/>
                          <a:cs typeface="Arial" panose="020B0604020202020204" pitchFamily="34" charset="0"/>
                        </a:defRPr>
                      </a:pPr>
                      <a:t>[PERCENTAGE]</a:t>
                    </a:fld>
                    <a:endParaRPr lang="en-US" sz="1100" b="0" baseline="0"/>
                  </a:p>
                  <a:p>
                    <a:pPr>
                      <a:defRPr sz="1100">
                        <a:solidFill>
                          <a:sysClr val="windowText" lastClr="000000"/>
                        </a:solidFill>
                        <a:latin typeface="Arial" panose="020B0604020202020204" pitchFamily="34" charset="0"/>
                        <a:cs typeface="Arial" panose="020B0604020202020204" pitchFamily="34" charset="0"/>
                      </a:defRPr>
                    </a:pPr>
                    <a:r>
                      <a:rPr lang="en-US" sz="1100" b="0" baseline="0"/>
                      <a:t>26% last year</a:t>
                    </a:r>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438452850361544"/>
                      <c:h val="0.36073699469574672"/>
                    </c:manualLayout>
                  </c15:layout>
                  <c15:dlblFieldTable/>
                  <c15:showDataLabelsRange val="0"/>
                </c:ext>
                <c:ext xmlns:c16="http://schemas.microsoft.com/office/drawing/2014/chart" uri="{C3380CC4-5D6E-409C-BE32-E72D297353CC}">
                  <c16:uniqueId val="{00000003-6EF9-487F-8AE3-4D6879DF5AA6}"/>
                </c:ext>
              </c:extLst>
            </c:dLbl>
            <c:dLbl>
              <c:idx val="2"/>
              <c:layout>
                <c:manualLayout>
                  <c:x val="0.44496187593702402"/>
                  <c:y val="0.7070833196059696"/>
                </c:manualLayout>
              </c:layout>
              <c:tx>
                <c:rich>
                  <a:bodyPr rot="0" spcFirstLastPara="1" vertOverflow="ellipsis" vert="horz" wrap="square" lIns="38100" tIns="19050" rIns="38100" bIns="19050" anchor="ctr" anchorCtr="1">
                    <a:noAutofit/>
                  </a:bodyPr>
                  <a:lstStyle/>
                  <a:p>
                    <a:pPr>
                      <a:defRPr sz="11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612B247C-D30C-4735-AD8E-E7FFA9337267}" type="CATEGORYNAME">
                      <a:rPr lang="en-US" sz="1100"/>
                      <a:pPr>
                        <a:defRPr sz="1100">
                          <a:solidFill>
                            <a:sysClr val="windowText" lastClr="000000"/>
                          </a:solidFill>
                          <a:latin typeface="Arial" panose="020B0604020202020204" pitchFamily="34" charset="0"/>
                          <a:cs typeface="Arial" panose="020B0604020202020204" pitchFamily="34" charset="0"/>
                        </a:defRPr>
                      </a:pPr>
                      <a:t>[CATEGORY NAME]</a:t>
                    </a:fld>
                    <a:r>
                      <a:rPr lang="en-US" sz="1100"/>
                      <a:t> </a:t>
                    </a:r>
                    <a:fld id="{71E1225D-1AE6-441A-8C43-BA8DA6874A70}" type="PERCENTAGE">
                      <a:rPr lang="en-US" sz="1100" baseline="0"/>
                      <a:pPr>
                        <a:defRPr sz="1100">
                          <a:solidFill>
                            <a:sysClr val="windowText" lastClr="000000"/>
                          </a:solidFill>
                          <a:latin typeface="Arial" panose="020B0604020202020204" pitchFamily="34" charset="0"/>
                          <a:cs typeface="Arial" panose="020B0604020202020204" pitchFamily="34" charset="0"/>
                        </a:defRPr>
                      </a:pPr>
                      <a:t>[PERCENTAGE]</a:t>
                    </a:fld>
                    <a:endParaRPr lang="en-US" sz="1100" b="0" baseline="0"/>
                  </a:p>
                  <a:p>
                    <a:pPr>
                      <a:defRPr sz="1100">
                        <a:solidFill>
                          <a:sysClr val="windowText" lastClr="000000"/>
                        </a:solidFill>
                        <a:latin typeface="Arial" panose="020B0604020202020204" pitchFamily="34" charset="0"/>
                        <a:cs typeface="Arial" panose="020B0604020202020204" pitchFamily="34" charset="0"/>
                      </a:defRPr>
                    </a:pPr>
                    <a:r>
                      <a:rPr lang="en-US" sz="1100" b="0" baseline="0"/>
                      <a:t>21% last year</a:t>
                    </a:r>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116088475158066"/>
                      <c:h val="0.29142643780406108"/>
                    </c:manualLayout>
                  </c15:layout>
                  <c15:dlblFieldTable/>
                  <c15:showDataLabelsRange val="0"/>
                </c:ext>
                <c:ext xmlns:c16="http://schemas.microsoft.com/office/drawing/2014/chart" uri="{C3380CC4-5D6E-409C-BE32-E72D297353CC}">
                  <c16:uniqueId val="{00000005-6EF9-487F-8AE3-4D6879DF5AA6}"/>
                </c:ext>
              </c:extLst>
            </c:dLbl>
            <c:dLbl>
              <c:idx val="3"/>
              <c:layout>
                <c:manualLayout>
                  <c:x val="0.45831574843343653"/>
                  <c:y val="0.46817969668017445"/>
                </c:manualLayout>
              </c:layout>
              <c:tx>
                <c:rich>
                  <a:bodyPr rot="0" spcFirstLastPara="1" vertOverflow="ellipsis" vert="horz" wrap="square" lIns="38100" tIns="19050" rIns="38100" bIns="19050" anchor="ctr" anchorCtr="1">
                    <a:noAutofit/>
                  </a:bodyPr>
                  <a:lstStyle/>
                  <a:p>
                    <a:pPr>
                      <a:defRPr sz="11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7068E2C8-5E61-4E43-803D-60006AB5D400}" type="CATEGORYNAME">
                      <a:rPr lang="en-US" sz="1100"/>
                      <a:pPr>
                        <a:defRPr sz="1100">
                          <a:solidFill>
                            <a:sysClr val="windowText" lastClr="000000"/>
                          </a:solidFill>
                          <a:latin typeface="Arial" panose="020B0604020202020204" pitchFamily="34" charset="0"/>
                          <a:cs typeface="Arial" panose="020B0604020202020204" pitchFamily="34" charset="0"/>
                        </a:defRPr>
                      </a:pPr>
                      <a:t>[CATEGORY NAME]</a:t>
                    </a:fld>
                    <a:r>
                      <a:rPr lang="en-US" sz="1100"/>
                      <a:t> </a:t>
                    </a:r>
                    <a:fld id="{8BCE8EEF-C607-403E-92B0-261C0791C857}" type="PERCENTAGE">
                      <a:rPr lang="en-US" sz="1100" baseline="0"/>
                      <a:pPr>
                        <a:defRPr sz="1100">
                          <a:solidFill>
                            <a:sysClr val="windowText" lastClr="000000"/>
                          </a:solidFill>
                          <a:latin typeface="Arial" panose="020B0604020202020204" pitchFamily="34" charset="0"/>
                          <a:cs typeface="Arial" panose="020B0604020202020204" pitchFamily="34" charset="0"/>
                        </a:defRPr>
                      </a:pPr>
                      <a:t>[PERCENTAGE]</a:t>
                    </a:fld>
                    <a:endParaRPr lang="en-US" sz="1100" b="0" baseline="0"/>
                  </a:p>
                  <a:p>
                    <a:pPr>
                      <a:defRPr sz="1100">
                        <a:solidFill>
                          <a:sysClr val="windowText" lastClr="000000"/>
                        </a:solidFill>
                        <a:latin typeface="Arial" panose="020B0604020202020204" pitchFamily="34" charset="0"/>
                        <a:cs typeface="Arial" panose="020B0604020202020204" pitchFamily="34" charset="0"/>
                      </a:defRPr>
                    </a:pPr>
                    <a:r>
                      <a:rPr lang="en-US" sz="1100" b="0" baseline="0"/>
                      <a:t>5% last year</a:t>
                    </a:r>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844123427909949"/>
                      <c:h val="0.26334080101911944"/>
                    </c:manualLayout>
                  </c15:layout>
                  <c15:dlblFieldTable/>
                  <c15:showDataLabelsRange val="0"/>
                </c:ext>
                <c:ext xmlns:c16="http://schemas.microsoft.com/office/drawing/2014/chart" uri="{C3380CC4-5D6E-409C-BE32-E72D297353CC}">
                  <c16:uniqueId val="{00000007-6EF9-487F-8AE3-4D6879DF5AA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'LP Refusals'!$C$38:$C$41</c:f>
              <c:strCache>
                <c:ptCount val="4"/>
                <c:pt idx="0">
                  <c:v>Dismissed</c:v>
                </c:pt>
                <c:pt idx="1">
                  <c:v>Allowed</c:v>
                </c:pt>
                <c:pt idx="2">
                  <c:v>Awaiting decision</c:v>
                </c:pt>
                <c:pt idx="3">
                  <c:v>Withdrawn</c:v>
                </c:pt>
              </c:strCache>
            </c:strRef>
          </c:cat>
          <c:val>
            <c:numRef>
              <c:f>'LP Refusals'!$D$38:$D$41</c:f>
              <c:numCache>
                <c:formatCode>General</c:formatCode>
                <c:ptCount val="4"/>
                <c:pt idx="0">
                  <c:v>8</c:v>
                </c:pt>
                <c:pt idx="1">
                  <c:v>3</c:v>
                </c:pt>
                <c:pt idx="2">
                  <c:v>0</c:v>
                </c:pt>
                <c:pt idx="3">
                  <c:v>0</c:v>
                </c:pt>
              </c:numCache>
            </c:numRef>
          </c:val>
          <c:extLst>
            <c:ext xmlns:c16="http://schemas.microsoft.com/office/drawing/2014/chart" uri="{C3380CC4-5D6E-409C-BE32-E72D297353CC}">
              <c16:uniqueId val="{00000008-6EF9-487F-8AE3-4D6879DF5AA6}"/>
            </c:ext>
          </c:extLst>
        </c:ser>
        <c:dLbls>
          <c:dLblPos val="outEnd"/>
          <c:showLegendKey val="0"/>
          <c:showVal val="1"/>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1"/>
          <c:tx>
            <c:strRef>
              <c:f>' Appeals'!$D$60:$D$61</c:f>
              <c:strCache>
                <c:ptCount val="2"/>
                <c:pt idx="0">
                  <c:v>Appeals dismissed</c:v>
                </c:pt>
              </c:strCache>
            </c:strRef>
          </c:tx>
          <c:spPr>
            <a:pattFill prst="pct80">
              <a:fgClr>
                <a:schemeClr val="tx1"/>
              </a:fgClr>
              <a:bgClr>
                <a:schemeClr val="bg1"/>
              </a:bgClr>
            </a:pattFill>
            <a:ln>
              <a:noFill/>
            </a:ln>
            <a:effectLst/>
          </c:spPr>
          <c:invertIfNegative val="0"/>
          <c:cat>
            <c:strRef>
              <c:f>' Appeals'!$B$69:$B$79</c:f>
              <c:strCache>
                <c:ptCount val="11"/>
                <c:pt idx="0">
                  <c:v>2014 / 15</c:v>
                </c:pt>
                <c:pt idx="1">
                  <c:v>2015 / 16</c:v>
                </c:pt>
                <c:pt idx="2">
                  <c:v>2016 / 17</c:v>
                </c:pt>
                <c:pt idx="3">
                  <c:v>2017 / 18</c:v>
                </c:pt>
                <c:pt idx="4">
                  <c:v>2018 / 19</c:v>
                </c:pt>
                <c:pt idx="5">
                  <c:v>2019 / 20</c:v>
                </c:pt>
                <c:pt idx="6">
                  <c:v>2020 / 21</c:v>
                </c:pt>
                <c:pt idx="7">
                  <c:v>2021 / 22</c:v>
                </c:pt>
                <c:pt idx="8">
                  <c:v>2022 / 23</c:v>
                </c:pt>
                <c:pt idx="9">
                  <c:v>2023 / 24</c:v>
                </c:pt>
                <c:pt idx="10">
                  <c:v>2024 / 25</c:v>
                </c:pt>
              </c:strCache>
              <c:extLst/>
            </c:strRef>
          </c:cat>
          <c:val>
            <c:numRef>
              <c:f>' Appeals'!$D$69:$D$79</c:f>
              <c:numCache>
                <c:formatCode>General</c:formatCode>
                <c:ptCount val="11"/>
                <c:pt idx="0">
                  <c:v>17</c:v>
                </c:pt>
                <c:pt idx="1">
                  <c:v>32</c:v>
                </c:pt>
                <c:pt idx="2">
                  <c:v>21</c:v>
                </c:pt>
                <c:pt idx="3">
                  <c:v>20</c:v>
                </c:pt>
                <c:pt idx="4">
                  <c:v>29</c:v>
                </c:pt>
                <c:pt idx="5">
                  <c:v>29</c:v>
                </c:pt>
                <c:pt idx="6">
                  <c:v>29</c:v>
                </c:pt>
                <c:pt idx="7">
                  <c:v>20</c:v>
                </c:pt>
                <c:pt idx="8">
                  <c:v>10</c:v>
                </c:pt>
                <c:pt idx="9">
                  <c:v>10</c:v>
                </c:pt>
                <c:pt idx="10">
                  <c:v>13</c:v>
                </c:pt>
              </c:numCache>
              <c:extLst/>
            </c:numRef>
          </c:val>
          <c:extLst>
            <c:ext xmlns:c16="http://schemas.microsoft.com/office/drawing/2014/chart" uri="{C3380CC4-5D6E-409C-BE32-E72D297353CC}">
              <c16:uniqueId val="{00000000-F46F-4296-B44F-89E195ADD117}"/>
            </c:ext>
          </c:extLst>
        </c:ser>
        <c:ser>
          <c:idx val="2"/>
          <c:order val="2"/>
          <c:tx>
            <c:strRef>
              <c:f>' Appeals'!$E$60:$E$61</c:f>
              <c:strCache>
                <c:ptCount val="2"/>
                <c:pt idx="0">
                  <c:v>Appeals allowed</c:v>
                </c:pt>
              </c:strCache>
            </c:strRef>
          </c:tx>
          <c:spPr>
            <a:solidFill>
              <a:schemeClr val="bg1">
                <a:lumMod val="75000"/>
              </a:schemeClr>
            </a:solidFill>
            <a:ln>
              <a:noFill/>
            </a:ln>
            <a:effectLst/>
          </c:spPr>
          <c:invertIfNegative val="0"/>
          <c:cat>
            <c:strRef>
              <c:f>' Appeals'!$B$69:$B$79</c:f>
              <c:strCache>
                <c:ptCount val="11"/>
                <c:pt idx="0">
                  <c:v>2014 / 15</c:v>
                </c:pt>
                <c:pt idx="1">
                  <c:v>2015 / 16</c:v>
                </c:pt>
                <c:pt idx="2">
                  <c:v>2016 / 17</c:v>
                </c:pt>
                <c:pt idx="3">
                  <c:v>2017 / 18</c:v>
                </c:pt>
                <c:pt idx="4">
                  <c:v>2018 / 19</c:v>
                </c:pt>
                <c:pt idx="5">
                  <c:v>2019 / 20</c:v>
                </c:pt>
                <c:pt idx="6">
                  <c:v>2020 / 21</c:v>
                </c:pt>
                <c:pt idx="7">
                  <c:v>2021 / 22</c:v>
                </c:pt>
                <c:pt idx="8">
                  <c:v>2022 / 23</c:v>
                </c:pt>
                <c:pt idx="9">
                  <c:v>2023 / 24</c:v>
                </c:pt>
                <c:pt idx="10">
                  <c:v>2024 / 25</c:v>
                </c:pt>
              </c:strCache>
              <c:extLst/>
            </c:strRef>
          </c:cat>
          <c:val>
            <c:numRef>
              <c:f>' Appeals'!$E$69:$E$79</c:f>
              <c:numCache>
                <c:formatCode>General</c:formatCode>
                <c:ptCount val="11"/>
                <c:pt idx="0">
                  <c:v>10</c:v>
                </c:pt>
                <c:pt idx="1">
                  <c:v>12</c:v>
                </c:pt>
                <c:pt idx="2">
                  <c:v>11</c:v>
                </c:pt>
                <c:pt idx="3">
                  <c:v>10</c:v>
                </c:pt>
                <c:pt idx="4">
                  <c:v>16</c:v>
                </c:pt>
                <c:pt idx="5">
                  <c:v>12</c:v>
                </c:pt>
                <c:pt idx="6">
                  <c:v>16</c:v>
                </c:pt>
                <c:pt idx="7">
                  <c:v>12</c:v>
                </c:pt>
                <c:pt idx="8">
                  <c:v>7</c:v>
                </c:pt>
                <c:pt idx="9">
                  <c:v>7</c:v>
                </c:pt>
                <c:pt idx="10">
                  <c:v>8</c:v>
                </c:pt>
              </c:numCache>
              <c:extLst/>
            </c:numRef>
          </c:val>
          <c:extLst>
            <c:ext xmlns:c16="http://schemas.microsoft.com/office/drawing/2014/chart" uri="{C3380CC4-5D6E-409C-BE32-E72D297353CC}">
              <c16:uniqueId val="{00000001-F46F-4296-B44F-89E195ADD117}"/>
            </c:ext>
          </c:extLst>
        </c:ser>
        <c:ser>
          <c:idx val="3"/>
          <c:order val="3"/>
          <c:tx>
            <c:strRef>
              <c:f>' Appeals'!$F$60:$F$61</c:f>
              <c:strCache>
                <c:ptCount val="2"/>
                <c:pt idx="0">
                  <c:v>Appeals allowed in part</c:v>
                </c:pt>
              </c:strCache>
            </c:strRef>
          </c:tx>
          <c:spPr>
            <a:solidFill>
              <a:schemeClr val="tx1"/>
            </a:solidFill>
            <a:ln>
              <a:noFill/>
            </a:ln>
            <a:effectLst/>
          </c:spPr>
          <c:invertIfNegative val="0"/>
          <c:cat>
            <c:strRef>
              <c:f>' Appeals'!$B$69:$B$79</c:f>
              <c:strCache>
                <c:ptCount val="11"/>
                <c:pt idx="0">
                  <c:v>2014 / 15</c:v>
                </c:pt>
                <c:pt idx="1">
                  <c:v>2015 / 16</c:v>
                </c:pt>
                <c:pt idx="2">
                  <c:v>2016 / 17</c:v>
                </c:pt>
                <c:pt idx="3">
                  <c:v>2017 / 18</c:v>
                </c:pt>
                <c:pt idx="4">
                  <c:v>2018 / 19</c:v>
                </c:pt>
                <c:pt idx="5">
                  <c:v>2019 / 20</c:v>
                </c:pt>
                <c:pt idx="6">
                  <c:v>2020 / 21</c:v>
                </c:pt>
                <c:pt idx="7">
                  <c:v>2021 / 22</c:v>
                </c:pt>
                <c:pt idx="8">
                  <c:v>2022 / 23</c:v>
                </c:pt>
                <c:pt idx="9">
                  <c:v>2023 / 24</c:v>
                </c:pt>
                <c:pt idx="10">
                  <c:v>2024 / 25</c:v>
                </c:pt>
              </c:strCache>
              <c:extLst/>
            </c:strRef>
          </c:cat>
          <c:val>
            <c:numRef>
              <c:f>' Appeals'!$F$69:$F$79</c:f>
              <c:numCache>
                <c:formatCode>General</c:formatCode>
                <c:ptCount val="11"/>
                <c:pt idx="2">
                  <c:v>0</c:v>
                </c:pt>
                <c:pt idx="3">
                  <c:v>2</c:v>
                </c:pt>
                <c:pt idx="4">
                  <c:v>0</c:v>
                </c:pt>
                <c:pt idx="5">
                  <c:v>2</c:v>
                </c:pt>
                <c:pt idx="6">
                  <c:v>2</c:v>
                </c:pt>
                <c:pt idx="7">
                  <c:v>1</c:v>
                </c:pt>
                <c:pt idx="8">
                  <c:v>0</c:v>
                </c:pt>
                <c:pt idx="9">
                  <c:v>0</c:v>
                </c:pt>
                <c:pt idx="10">
                  <c:v>2</c:v>
                </c:pt>
              </c:numCache>
              <c:extLst/>
            </c:numRef>
          </c:val>
          <c:extLst>
            <c:ext xmlns:c16="http://schemas.microsoft.com/office/drawing/2014/chart" uri="{C3380CC4-5D6E-409C-BE32-E72D297353CC}">
              <c16:uniqueId val="{00000002-F46F-4296-B44F-89E195ADD117}"/>
            </c:ext>
          </c:extLst>
        </c:ser>
        <c:ser>
          <c:idx val="4"/>
          <c:order val="4"/>
          <c:tx>
            <c:strRef>
              <c:f>' Appeals'!$G$60:$G$61</c:f>
              <c:strCache>
                <c:ptCount val="2"/>
                <c:pt idx="0">
                  <c:v>Appeals invalid / withdrawn</c:v>
                </c:pt>
              </c:strCache>
            </c:strRef>
          </c:tx>
          <c:spPr>
            <a:pattFill prst="wdDnDiag">
              <a:fgClr>
                <a:schemeClr val="tx1"/>
              </a:fgClr>
              <a:bgClr>
                <a:schemeClr val="bg1"/>
              </a:bgClr>
            </a:pattFill>
            <a:ln>
              <a:noFill/>
            </a:ln>
            <a:effectLst/>
          </c:spPr>
          <c:invertIfNegative val="0"/>
          <c:cat>
            <c:strRef>
              <c:f>' Appeals'!$B$69:$B$79</c:f>
              <c:strCache>
                <c:ptCount val="11"/>
                <c:pt idx="0">
                  <c:v>2014 / 15</c:v>
                </c:pt>
                <c:pt idx="1">
                  <c:v>2015 / 16</c:v>
                </c:pt>
                <c:pt idx="2">
                  <c:v>2016 / 17</c:v>
                </c:pt>
                <c:pt idx="3">
                  <c:v>2017 / 18</c:v>
                </c:pt>
                <c:pt idx="4">
                  <c:v>2018 / 19</c:v>
                </c:pt>
                <c:pt idx="5">
                  <c:v>2019 / 20</c:v>
                </c:pt>
                <c:pt idx="6">
                  <c:v>2020 / 21</c:v>
                </c:pt>
                <c:pt idx="7">
                  <c:v>2021 / 22</c:v>
                </c:pt>
                <c:pt idx="8">
                  <c:v>2022 / 23</c:v>
                </c:pt>
                <c:pt idx="9">
                  <c:v>2023 / 24</c:v>
                </c:pt>
                <c:pt idx="10">
                  <c:v>2024 / 25</c:v>
                </c:pt>
              </c:strCache>
              <c:extLst/>
            </c:strRef>
          </c:cat>
          <c:val>
            <c:numRef>
              <c:f>' Appeals'!$G$69:$G$79</c:f>
              <c:numCache>
                <c:formatCode>General</c:formatCode>
                <c:ptCount val="11"/>
                <c:pt idx="0">
                  <c:v>1</c:v>
                </c:pt>
                <c:pt idx="1">
                  <c:v>3</c:v>
                </c:pt>
                <c:pt idx="2">
                  <c:v>8</c:v>
                </c:pt>
                <c:pt idx="3">
                  <c:v>3</c:v>
                </c:pt>
                <c:pt idx="4">
                  <c:v>4</c:v>
                </c:pt>
                <c:pt idx="5">
                  <c:v>5</c:v>
                </c:pt>
                <c:pt idx="6">
                  <c:v>1</c:v>
                </c:pt>
                <c:pt idx="7">
                  <c:v>1</c:v>
                </c:pt>
                <c:pt idx="8">
                  <c:v>1</c:v>
                </c:pt>
                <c:pt idx="9">
                  <c:v>2</c:v>
                </c:pt>
              </c:numCache>
              <c:extLst/>
            </c:numRef>
          </c:val>
          <c:extLst>
            <c:ext xmlns:c16="http://schemas.microsoft.com/office/drawing/2014/chart" uri="{C3380CC4-5D6E-409C-BE32-E72D297353CC}">
              <c16:uniqueId val="{00000003-F46F-4296-B44F-89E195ADD117}"/>
            </c:ext>
          </c:extLst>
        </c:ser>
        <c:dLbls>
          <c:showLegendKey val="0"/>
          <c:showVal val="0"/>
          <c:showCatName val="0"/>
          <c:showSerName val="0"/>
          <c:showPercent val="0"/>
          <c:showBubbleSize val="0"/>
        </c:dLbls>
        <c:gapWidth val="150"/>
        <c:overlap val="100"/>
        <c:axId val="68237408"/>
        <c:axId val="70898688"/>
        <c:extLst>
          <c:ext xmlns:c15="http://schemas.microsoft.com/office/drawing/2012/chart" uri="{02D57815-91ED-43cb-92C2-25804820EDAC}">
            <c15:filteredBarSeries>
              <c15:ser>
                <c:idx val="0"/>
                <c:order val="0"/>
                <c:tx>
                  <c:strRef>
                    <c:extLst>
                      <c:ext uri="{02D57815-91ED-43cb-92C2-25804820EDAC}">
                        <c15:formulaRef>
                          <c15:sqref>' Appeals'!$C$60:$C$61</c15:sqref>
                        </c15:formulaRef>
                      </c:ext>
                    </c:extLst>
                    <c:strCache>
                      <c:ptCount val="2"/>
                      <c:pt idx="0">
                        <c:v>apps decidd</c:v>
                      </c:pt>
                    </c:strCache>
                  </c:strRef>
                </c:tx>
                <c:spPr>
                  <a:solidFill>
                    <a:schemeClr val="accent1"/>
                  </a:solidFill>
                  <a:ln>
                    <a:noFill/>
                  </a:ln>
                  <a:effectLst/>
                </c:spPr>
                <c:invertIfNegative val="0"/>
                <c:cat>
                  <c:strRef>
                    <c:extLst>
                      <c:ext uri="{02D57815-91ED-43cb-92C2-25804820EDAC}">
                        <c15:formulaRef>
                          <c15:sqref>' Appeals'!$B$69:$B$79</c15:sqref>
                        </c15:formulaRef>
                      </c:ext>
                    </c:extLst>
                    <c:strCache>
                      <c:ptCount val="11"/>
                      <c:pt idx="0">
                        <c:v>2014 / 15</c:v>
                      </c:pt>
                      <c:pt idx="1">
                        <c:v>2015 / 16</c:v>
                      </c:pt>
                      <c:pt idx="2">
                        <c:v>2016 / 17</c:v>
                      </c:pt>
                      <c:pt idx="3">
                        <c:v>2017 / 18</c:v>
                      </c:pt>
                      <c:pt idx="4">
                        <c:v>2018 / 19</c:v>
                      </c:pt>
                      <c:pt idx="5">
                        <c:v>2019 / 20</c:v>
                      </c:pt>
                      <c:pt idx="6">
                        <c:v>2020 / 21</c:v>
                      </c:pt>
                      <c:pt idx="7">
                        <c:v>2021 / 22</c:v>
                      </c:pt>
                      <c:pt idx="8">
                        <c:v>2022 / 23</c:v>
                      </c:pt>
                      <c:pt idx="9">
                        <c:v>2023 / 24</c:v>
                      </c:pt>
                      <c:pt idx="10">
                        <c:v>2024 / 25</c:v>
                      </c:pt>
                    </c:strCache>
                  </c:strRef>
                </c:cat>
                <c:val>
                  <c:numRef>
                    <c:extLst>
                      <c:ext uri="{02D57815-91ED-43cb-92C2-25804820EDAC}">
                        <c15:formulaRef>
                          <c15:sqref>' Appeals'!$C$69:$C$79</c15:sqref>
                        </c15:formulaRef>
                      </c:ext>
                    </c:extLst>
                    <c:numCache>
                      <c:formatCode>General</c:formatCode>
                      <c:ptCount val="11"/>
                      <c:pt idx="0">
                        <c:v>28</c:v>
                      </c:pt>
                      <c:pt idx="1">
                        <c:v>47</c:v>
                      </c:pt>
                      <c:pt idx="2">
                        <c:v>40</c:v>
                      </c:pt>
                      <c:pt idx="3">
                        <c:v>35</c:v>
                      </c:pt>
                      <c:pt idx="4">
                        <c:v>49</c:v>
                      </c:pt>
                      <c:pt idx="5">
                        <c:v>48</c:v>
                      </c:pt>
                      <c:pt idx="6">
                        <c:v>48</c:v>
                      </c:pt>
                      <c:pt idx="7">
                        <c:v>34</c:v>
                      </c:pt>
                      <c:pt idx="8">
                        <c:v>18</c:v>
                      </c:pt>
                      <c:pt idx="9">
                        <c:v>19</c:v>
                      </c:pt>
                      <c:pt idx="10">
                        <c:v>23</c:v>
                      </c:pt>
                    </c:numCache>
                  </c:numRef>
                </c:val>
                <c:extLst>
                  <c:ext xmlns:c16="http://schemas.microsoft.com/office/drawing/2014/chart" uri="{C3380CC4-5D6E-409C-BE32-E72D297353CC}">
                    <c16:uniqueId val="{00000004-F46F-4296-B44F-89E195ADD117}"/>
                  </c:ext>
                </c:extLst>
              </c15:ser>
            </c15:filteredBarSeries>
          </c:ext>
        </c:extLst>
      </c:barChart>
      <c:catAx>
        <c:axId val="6823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0898688"/>
        <c:crosses val="autoZero"/>
        <c:auto val="1"/>
        <c:lblAlgn val="ctr"/>
        <c:lblOffset val="100"/>
        <c:noMultiLvlLbl val="0"/>
      </c:catAx>
      <c:valAx>
        <c:axId val="70898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8237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585789841596435E-2"/>
          <c:y val="3.5495321071313327E-2"/>
          <c:w val="0.88238238436275862"/>
          <c:h val="0.57008967629046359"/>
        </c:manualLayout>
      </c:layout>
      <c:lineChart>
        <c:grouping val="standard"/>
        <c:varyColors val="0"/>
        <c:ser>
          <c:idx val="0"/>
          <c:order val="0"/>
          <c:tx>
            <c:strRef>
              <c:f>'Cumulative housing trajectory'!$B$6</c:f>
              <c:strCache>
                <c:ptCount val="1"/>
                <c:pt idx="0">
                  <c:v>Housing completions in New Forest National Park</c:v>
                </c:pt>
              </c:strCache>
            </c:strRef>
          </c:tx>
          <c:spPr>
            <a:ln w="22225" cap="rnd">
              <a:solidFill>
                <a:schemeClr val="accent1"/>
              </a:solidFill>
              <a:round/>
            </a:ln>
            <a:effectLst/>
          </c:spPr>
          <c:marker>
            <c:symbol val="circle"/>
            <c:size val="5"/>
            <c:spPr>
              <a:solidFill>
                <a:schemeClr val="accent1"/>
              </a:solidFill>
              <a:ln w="9525">
                <a:solidFill>
                  <a:schemeClr val="accent1"/>
                </a:solidFill>
              </a:ln>
              <a:effectLst/>
            </c:spPr>
          </c:marker>
          <c:cat>
            <c:strRef>
              <c:f>'Cumulative housing trajectory'!$H$5:$Z$5</c:f>
              <c:strCache>
                <c:ptCount val="19"/>
                <c:pt idx="0">
                  <c:v>2006 / 07</c:v>
                </c:pt>
                <c:pt idx="1">
                  <c:v>2007 / 08</c:v>
                </c:pt>
                <c:pt idx="2">
                  <c:v>2008 / 09</c:v>
                </c:pt>
                <c:pt idx="3">
                  <c:v>2009 / 10</c:v>
                </c:pt>
                <c:pt idx="4">
                  <c:v>2010 / 11</c:v>
                </c:pt>
                <c:pt idx="5">
                  <c:v>2011 / 12</c:v>
                </c:pt>
                <c:pt idx="6">
                  <c:v>2012 / 13</c:v>
                </c:pt>
                <c:pt idx="7">
                  <c:v>2013 / 14</c:v>
                </c:pt>
                <c:pt idx="8">
                  <c:v>2014 / 15</c:v>
                </c:pt>
                <c:pt idx="9">
                  <c:v>2015 / 16</c:v>
                </c:pt>
                <c:pt idx="10">
                  <c:v>2016 / 17</c:v>
                </c:pt>
                <c:pt idx="11">
                  <c:v>2017 / 18</c:v>
                </c:pt>
                <c:pt idx="12">
                  <c:v>2018 / 19</c:v>
                </c:pt>
                <c:pt idx="13">
                  <c:v>2019 / 20</c:v>
                </c:pt>
                <c:pt idx="14">
                  <c:v>2020 / 21</c:v>
                </c:pt>
                <c:pt idx="15">
                  <c:v>2021 / 22</c:v>
                </c:pt>
                <c:pt idx="16">
                  <c:v>2022 / 23</c:v>
                </c:pt>
                <c:pt idx="17">
                  <c:v>2023 / 24</c:v>
                </c:pt>
                <c:pt idx="18">
                  <c:v>2024 / 25</c:v>
                </c:pt>
              </c:strCache>
              <c:extLst/>
            </c:strRef>
          </c:cat>
          <c:val>
            <c:numRef>
              <c:f>'Cumulative housing trajectory'!$H$6:$Z$6</c:f>
              <c:numCache>
                <c:formatCode>0</c:formatCode>
                <c:ptCount val="19"/>
                <c:pt idx="0">
                  <c:v>21</c:v>
                </c:pt>
                <c:pt idx="1">
                  <c:v>13</c:v>
                </c:pt>
                <c:pt idx="2">
                  <c:v>50</c:v>
                </c:pt>
                <c:pt idx="3">
                  <c:v>23</c:v>
                </c:pt>
                <c:pt idx="4">
                  <c:v>29</c:v>
                </c:pt>
                <c:pt idx="5">
                  <c:v>14</c:v>
                </c:pt>
                <c:pt idx="6">
                  <c:v>7</c:v>
                </c:pt>
                <c:pt idx="7">
                  <c:v>34</c:v>
                </c:pt>
                <c:pt idx="8">
                  <c:v>2</c:v>
                </c:pt>
                <c:pt idx="9">
                  <c:v>47</c:v>
                </c:pt>
                <c:pt idx="10">
                  <c:v>9</c:v>
                </c:pt>
                <c:pt idx="11">
                  <c:v>25</c:v>
                </c:pt>
                <c:pt idx="12">
                  <c:v>29</c:v>
                </c:pt>
                <c:pt idx="13">
                  <c:v>50</c:v>
                </c:pt>
                <c:pt idx="14">
                  <c:v>13</c:v>
                </c:pt>
                <c:pt idx="15">
                  <c:v>15</c:v>
                </c:pt>
                <c:pt idx="16">
                  <c:v>32</c:v>
                </c:pt>
                <c:pt idx="17">
                  <c:v>40</c:v>
                </c:pt>
                <c:pt idx="18">
                  <c:v>59</c:v>
                </c:pt>
              </c:numCache>
              <c:extLst/>
            </c:numRef>
          </c:val>
          <c:smooth val="0"/>
          <c:extLst>
            <c:ext xmlns:c16="http://schemas.microsoft.com/office/drawing/2014/chart" uri="{C3380CC4-5D6E-409C-BE32-E72D297353CC}">
              <c16:uniqueId val="{00000000-BED4-4EAB-BE7C-C0011CFF8DBA}"/>
            </c:ext>
          </c:extLst>
        </c:ser>
        <c:ser>
          <c:idx val="2"/>
          <c:order val="2"/>
          <c:tx>
            <c:strRef>
              <c:f>'Cumulative housing trajectory'!$B$8</c:f>
              <c:strCache>
                <c:ptCount val="1"/>
                <c:pt idx="0">
                  <c:v>Annualised housing requirement in the Local Plan</c:v>
                </c:pt>
              </c:strCache>
            </c:strRef>
          </c:tx>
          <c:spPr>
            <a:ln w="25400" cap="sq">
              <a:solidFill>
                <a:srgbClr val="FF0000"/>
              </a:solidFill>
              <a:prstDash val="dash"/>
              <a:round/>
            </a:ln>
            <a:effectLst/>
          </c:spPr>
          <c:marker>
            <c:symbol val="none"/>
          </c:marker>
          <c:cat>
            <c:strRef>
              <c:f>'Cumulative housing trajectory'!$H$5:$Z$5</c:f>
              <c:strCache>
                <c:ptCount val="19"/>
                <c:pt idx="0">
                  <c:v>2006 / 07</c:v>
                </c:pt>
                <c:pt idx="1">
                  <c:v>2007 / 08</c:v>
                </c:pt>
                <c:pt idx="2">
                  <c:v>2008 / 09</c:v>
                </c:pt>
                <c:pt idx="3">
                  <c:v>2009 / 10</c:v>
                </c:pt>
                <c:pt idx="4">
                  <c:v>2010 / 11</c:v>
                </c:pt>
                <c:pt idx="5">
                  <c:v>2011 / 12</c:v>
                </c:pt>
                <c:pt idx="6">
                  <c:v>2012 / 13</c:v>
                </c:pt>
                <c:pt idx="7">
                  <c:v>2013 / 14</c:v>
                </c:pt>
                <c:pt idx="8">
                  <c:v>2014 / 15</c:v>
                </c:pt>
                <c:pt idx="9">
                  <c:v>2015 / 16</c:v>
                </c:pt>
                <c:pt idx="10">
                  <c:v>2016 / 17</c:v>
                </c:pt>
                <c:pt idx="11">
                  <c:v>2017 / 18</c:v>
                </c:pt>
                <c:pt idx="12">
                  <c:v>2018 / 19</c:v>
                </c:pt>
                <c:pt idx="13">
                  <c:v>2019 / 20</c:v>
                </c:pt>
                <c:pt idx="14">
                  <c:v>2020 / 21</c:v>
                </c:pt>
                <c:pt idx="15">
                  <c:v>2021 / 22</c:v>
                </c:pt>
                <c:pt idx="16">
                  <c:v>2022 / 23</c:v>
                </c:pt>
                <c:pt idx="17">
                  <c:v>2023 / 24</c:v>
                </c:pt>
                <c:pt idx="18">
                  <c:v>2024 / 25</c:v>
                </c:pt>
              </c:strCache>
              <c:extLst/>
            </c:strRef>
          </c:cat>
          <c:val>
            <c:numRef>
              <c:f>'Cumulative housing trajectory'!$H$8:$Z$8</c:f>
              <c:numCache>
                <c:formatCode>General</c:formatCode>
                <c:ptCount val="19"/>
                <c:pt idx="10" formatCode="0">
                  <c:v>40</c:v>
                </c:pt>
                <c:pt idx="11" formatCode="0">
                  <c:v>40</c:v>
                </c:pt>
                <c:pt idx="12" formatCode="0">
                  <c:v>40</c:v>
                </c:pt>
                <c:pt idx="13" formatCode="0">
                  <c:v>40</c:v>
                </c:pt>
                <c:pt idx="14" formatCode="0">
                  <c:v>40</c:v>
                </c:pt>
                <c:pt idx="15" formatCode="0">
                  <c:v>40</c:v>
                </c:pt>
                <c:pt idx="16" formatCode="0">
                  <c:v>40</c:v>
                </c:pt>
                <c:pt idx="17" formatCode="0">
                  <c:v>40</c:v>
                </c:pt>
                <c:pt idx="18" formatCode="0">
                  <c:v>40</c:v>
                </c:pt>
              </c:numCache>
              <c:extLst/>
            </c:numRef>
          </c:val>
          <c:smooth val="1"/>
          <c:extLst>
            <c:ext xmlns:c16="http://schemas.microsoft.com/office/drawing/2014/chart" uri="{C3380CC4-5D6E-409C-BE32-E72D297353CC}">
              <c16:uniqueId val="{00000001-BED4-4EAB-BE7C-C0011CFF8DBA}"/>
            </c:ext>
          </c:extLst>
        </c:ser>
        <c:ser>
          <c:idx val="4"/>
          <c:order val="4"/>
          <c:tx>
            <c:strRef>
              <c:f>'Cumulative housing trajectory'!$B$10</c:f>
              <c:strCache>
                <c:ptCount val="1"/>
                <c:pt idx="0">
                  <c:v>Average completions 2016 to 2025</c:v>
                </c:pt>
              </c:strCache>
            </c:strRef>
          </c:tx>
          <c:spPr>
            <a:ln w="28575" cap="rnd">
              <a:solidFill>
                <a:schemeClr val="accent5"/>
              </a:solidFill>
              <a:round/>
            </a:ln>
            <a:effectLst/>
          </c:spPr>
          <c:marker>
            <c:symbol val="x"/>
            <c:size val="5"/>
            <c:spPr>
              <a:solidFill>
                <a:schemeClr val="accent5"/>
              </a:solidFill>
              <a:ln w="9525">
                <a:solidFill>
                  <a:schemeClr val="accent5"/>
                </a:solidFill>
              </a:ln>
              <a:effectLst/>
            </c:spPr>
          </c:marker>
          <c:cat>
            <c:strRef>
              <c:f>'Cumulative housing trajectory'!$H$5:$Z$5</c:f>
              <c:strCache>
                <c:ptCount val="19"/>
                <c:pt idx="0">
                  <c:v>2006 / 07</c:v>
                </c:pt>
                <c:pt idx="1">
                  <c:v>2007 / 08</c:v>
                </c:pt>
                <c:pt idx="2">
                  <c:v>2008 / 09</c:v>
                </c:pt>
                <c:pt idx="3">
                  <c:v>2009 / 10</c:v>
                </c:pt>
                <c:pt idx="4">
                  <c:v>2010 / 11</c:v>
                </c:pt>
                <c:pt idx="5">
                  <c:v>2011 / 12</c:v>
                </c:pt>
                <c:pt idx="6">
                  <c:v>2012 / 13</c:v>
                </c:pt>
                <c:pt idx="7">
                  <c:v>2013 / 14</c:v>
                </c:pt>
                <c:pt idx="8">
                  <c:v>2014 / 15</c:v>
                </c:pt>
                <c:pt idx="9">
                  <c:v>2015 / 16</c:v>
                </c:pt>
                <c:pt idx="10">
                  <c:v>2016 / 17</c:v>
                </c:pt>
                <c:pt idx="11">
                  <c:v>2017 / 18</c:v>
                </c:pt>
                <c:pt idx="12">
                  <c:v>2018 / 19</c:v>
                </c:pt>
                <c:pt idx="13">
                  <c:v>2019 / 20</c:v>
                </c:pt>
                <c:pt idx="14">
                  <c:v>2020 / 21</c:v>
                </c:pt>
                <c:pt idx="15">
                  <c:v>2021 / 22</c:v>
                </c:pt>
                <c:pt idx="16">
                  <c:v>2022 / 23</c:v>
                </c:pt>
                <c:pt idx="17">
                  <c:v>2023 / 24</c:v>
                </c:pt>
                <c:pt idx="18">
                  <c:v>2024 / 25</c:v>
                </c:pt>
              </c:strCache>
              <c:extLst/>
            </c:strRef>
          </c:cat>
          <c:val>
            <c:numRef>
              <c:f>'Cumulative housing trajectory'!$H$10:$Z$10</c:f>
              <c:numCache>
                <c:formatCode>General</c:formatCode>
                <c:ptCount val="19"/>
                <c:pt idx="10">
                  <c:v>30</c:v>
                </c:pt>
                <c:pt idx="11">
                  <c:v>30</c:v>
                </c:pt>
                <c:pt idx="12">
                  <c:v>30</c:v>
                </c:pt>
                <c:pt idx="13">
                  <c:v>30</c:v>
                </c:pt>
                <c:pt idx="14">
                  <c:v>30</c:v>
                </c:pt>
                <c:pt idx="15">
                  <c:v>30</c:v>
                </c:pt>
                <c:pt idx="16">
                  <c:v>30</c:v>
                </c:pt>
                <c:pt idx="17">
                  <c:v>30</c:v>
                </c:pt>
                <c:pt idx="18">
                  <c:v>30</c:v>
                </c:pt>
              </c:numCache>
              <c:extLst/>
            </c:numRef>
          </c:val>
          <c:smooth val="0"/>
          <c:extLst>
            <c:ext xmlns:c16="http://schemas.microsoft.com/office/drawing/2014/chart" uri="{C3380CC4-5D6E-409C-BE32-E72D297353CC}">
              <c16:uniqueId val="{00000002-BED4-4EAB-BE7C-C0011CFF8DBA}"/>
            </c:ext>
          </c:extLst>
        </c:ser>
        <c:dLbls>
          <c:showLegendKey val="0"/>
          <c:showVal val="0"/>
          <c:showCatName val="0"/>
          <c:showSerName val="0"/>
          <c:showPercent val="0"/>
          <c:showBubbleSize val="0"/>
        </c:dLbls>
        <c:marker val="1"/>
        <c:smooth val="0"/>
        <c:axId val="124122496"/>
        <c:axId val="124115840"/>
        <c:extLst>
          <c:ext xmlns:c15="http://schemas.microsoft.com/office/drawing/2012/chart" uri="{02D57815-91ED-43cb-92C2-25804820EDAC}">
            <c15:filteredLineSeries>
              <c15:ser>
                <c:idx val="1"/>
                <c:order val="1"/>
                <c:tx>
                  <c:strRef>
                    <c:extLst>
                      <c:ext uri="{02D57815-91ED-43cb-92C2-25804820EDAC}">
                        <c15:formulaRef>
                          <c15:sqref>'Cumulative housing trajectory'!$B$7</c15:sqref>
                        </c15:formulaRef>
                      </c:ext>
                    </c:extLst>
                    <c:strCache>
                      <c:ptCount val="1"/>
                      <c:pt idx="0">
                        <c:v>Annualised housing requirement in the Core Strategy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extLst>
                      <c:ext uri="{02D57815-91ED-43cb-92C2-25804820EDAC}">
                        <c15:formulaRef>
                          <c15:sqref>'Cumulative housing trajectory'!$H$5:$Z$5</c15:sqref>
                        </c15:formulaRef>
                      </c:ext>
                    </c:extLst>
                    <c:strCache>
                      <c:ptCount val="19"/>
                      <c:pt idx="0">
                        <c:v>2006 / 07</c:v>
                      </c:pt>
                      <c:pt idx="1">
                        <c:v>2007 / 08</c:v>
                      </c:pt>
                      <c:pt idx="2">
                        <c:v>2008 / 09</c:v>
                      </c:pt>
                      <c:pt idx="3">
                        <c:v>2009 / 10</c:v>
                      </c:pt>
                      <c:pt idx="4">
                        <c:v>2010 / 11</c:v>
                      </c:pt>
                      <c:pt idx="5">
                        <c:v>2011 / 12</c:v>
                      </c:pt>
                      <c:pt idx="6">
                        <c:v>2012 / 13</c:v>
                      </c:pt>
                      <c:pt idx="7">
                        <c:v>2013 / 14</c:v>
                      </c:pt>
                      <c:pt idx="8">
                        <c:v>2014 / 15</c:v>
                      </c:pt>
                      <c:pt idx="9">
                        <c:v>2015 / 16</c:v>
                      </c:pt>
                      <c:pt idx="10">
                        <c:v>2016 / 17</c:v>
                      </c:pt>
                      <c:pt idx="11">
                        <c:v>2017 / 18</c:v>
                      </c:pt>
                      <c:pt idx="12">
                        <c:v>2018 / 19</c:v>
                      </c:pt>
                      <c:pt idx="13">
                        <c:v>2019 / 20</c:v>
                      </c:pt>
                      <c:pt idx="14">
                        <c:v>2020 / 21</c:v>
                      </c:pt>
                      <c:pt idx="15">
                        <c:v>2021 / 22</c:v>
                      </c:pt>
                      <c:pt idx="16">
                        <c:v>2022 / 23</c:v>
                      </c:pt>
                      <c:pt idx="17">
                        <c:v>2023 / 24</c:v>
                      </c:pt>
                      <c:pt idx="18">
                        <c:v>2024 / 25</c:v>
                      </c:pt>
                    </c:strCache>
                  </c:strRef>
                </c:cat>
                <c:val>
                  <c:numRef>
                    <c:extLst>
                      <c:ext uri="{02D57815-91ED-43cb-92C2-25804820EDAC}">
                        <c15:formulaRef>
                          <c15:sqref>'Cumulative housing trajectory'!$H$7:$Z$7</c15:sqref>
                        </c15:formulaRef>
                      </c:ext>
                    </c:extLst>
                    <c:numCache>
                      <c:formatCode>General</c:formatCode>
                      <c:ptCount val="19"/>
                      <c:pt idx="4" formatCode="0">
                        <c:v>11</c:v>
                      </c:pt>
                      <c:pt idx="5" formatCode="0">
                        <c:v>11</c:v>
                      </c:pt>
                      <c:pt idx="6" formatCode="0">
                        <c:v>11</c:v>
                      </c:pt>
                      <c:pt idx="7" formatCode="0">
                        <c:v>11</c:v>
                      </c:pt>
                      <c:pt idx="8" formatCode="0">
                        <c:v>11</c:v>
                      </c:pt>
                      <c:pt idx="9" formatCode="0">
                        <c:v>11</c:v>
                      </c:pt>
                    </c:numCache>
                  </c:numRef>
                </c:val>
                <c:smooth val="0"/>
                <c:extLst>
                  <c:ext xmlns:c16="http://schemas.microsoft.com/office/drawing/2014/chart" uri="{C3380CC4-5D6E-409C-BE32-E72D297353CC}">
                    <c16:uniqueId val="{00000003-BED4-4EAB-BE7C-C0011CFF8DBA}"/>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'Cumulative housing trajectory'!$B$9</c15:sqref>
                        </c15:formulaRef>
                      </c:ext>
                    </c:extLst>
                    <c:strCache>
                      <c:ptCount val="1"/>
                      <c:pt idx="0">
                        <c:v>Average completions 2006 to 2024</c:v>
                      </c:pt>
                    </c:strCache>
                  </c:strRef>
                </c:tx>
                <c:spPr>
                  <a:ln w="25400" cap="rnd">
                    <a:solidFill>
                      <a:schemeClr val="accent4">
                        <a:alpha val="73000"/>
                      </a:schemeClr>
                    </a:solidFill>
                    <a:prstDash val="dashDot"/>
                    <a:round/>
                  </a:ln>
                  <a:effectLst/>
                </c:spPr>
                <c:marker>
                  <c:symbol val="none"/>
                </c:marker>
                <c:cat>
                  <c:strRef>
                    <c:extLst xmlns:c15="http://schemas.microsoft.com/office/drawing/2012/chart">
                      <c:ext xmlns:c15="http://schemas.microsoft.com/office/drawing/2012/chart" uri="{02D57815-91ED-43cb-92C2-25804820EDAC}">
                        <c15:formulaRef>
                          <c15:sqref>'Cumulative housing trajectory'!$H$5:$Z$5</c15:sqref>
                        </c15:formulaRef>
                      </c:ext>
                    </c:extLst>
                    <c:strCache>
                      <c:ptCount val="19"/>
                      <c:pt idx="0">
                        <c:v>2006 / 07</c:v>
                      </c:pt>
                      <c:pt idx="1">
                        <c:v>2007 / 08</c:v>
                      </c:pt>
                      <c:pt idx="2">
                        <c:v>2008 / 09</c:v>
                      </c:pt>
                      <c:pt idx="3">
                        <c:v>2009 / 10</c:v>
                      </c:pt>
                      <c:pt idx="4">
                        <c:v>2010 / 11</c:v>
                      </c:pt>
                      <c:pt idx="5">
                        <c:v>2011 / 12</c:v>
                      </c:pt>
                      <c:pt idx="6">
                        <c:v>2012 / 13</c:v>
                      </c:pt>
                      <c:pt idx="7">
                        <c:v>2013 / 14</c:v>
                      </c:pt>
                      <c:pt idx="8">
                        <c:v>2014 / 15</c:v>
                      </c:pt>
                      <c:pt idx="9">
                        <c:v>2015 / 16</c:v>
                      </c:pt>
                      <c:pt idx="10">
                        <c:v>2016 / 17</c:v>
                      </c:pt>
                      <c:pt idx="11">
                        <c:v>2017 / 18</c:v>
                      </c:pt>
                      <c:pt idx="12">
                        <c:v>2018 / 19</c:v>
                      </c:pt>
                      <c:pt idx="13">
                        <c:v>2019 / 20</c:v>
                      </c:pt>
                      <c:pt idx="14">
                        <c:v>2020 / 21</c:v>
                      </c:pt>
                      <c:pt idx="15">
                        <c:v>2021 / 22</c:v>
                      </c:pt>
                      <c:pt idx="16">
                        <c:v>2022 / 23</c:v>
                      </c:pt>
                      <c:pt idx="17">
                        <c:v>2023 / 24</c:v>
                      </c:pt>
                      <c:pt idx="18">
                        <c:v>2024 / 25</c:v>
                      </c:pt>
                    </c:strCache>
                  </c:strRef>
                </c:cat>
                <c:val>
                  <c:numRef>
                    <c:extLst xmlns:c15="http://schemas.microsoft.com/office/drawing/2012/chart">
                      <c:ext xmlns:c15="http://schemas.microsoft.com/office/drawing/2012/chart" uri="{02D57815-91ED-43cb-92C2-25804820EDAC}">
                        <c15:formulaRef>
                          <c15:sqref>'Cumulative housing trajectory'!$H$9:$Z$9</c15:sqref>
                        </c15:formulaRef>
                      </c:ext>
                    </c:extLst>
                    <c:numCache>
                      <c:formatCode>General</c:formatCode>
                      <c:ptCount val="19"/>
                      <c:pt idx="1">
                        <c:v>27</c:v>
                      </c:pt>
                      <c:pt idx="2">
                        <c:v>27</c:v>
                      </c:pt>
                      <c:pt idx="3">
                        <c:v>27</c:v>
                      </c:pt>
                      <c:pt idx="4">
                        <c:v>27</c:v>
                      </c:pt>
                      <c:pt idx="5">
                        <c:v>27</c:v>
                      </c:pt>
                      <c:pt idx="6">
                        <c:v>27</c:v>
                      </c:pt>
                      <c:pt idx="7">
                        <c:v>27</c:v>
                      </c:pt>
                      <c:pt idx="8">
                        <c:v>27</c:v>
                      </c:pt>
                      <c:pt idx="9">
                        <c:v>27</c:v>
                      </c:pt>
                      <c:pt idx="10">
                        <c:v>27</c:v>
                      </c:pt>
                      <c:pt idx="11">
                        <c:v>27</c:v>
                      </c:pt>
                      <c:pt idx="12">
                        <c:v>27</c:v>
                      </c:pt>
                      <c:pt idx="13">
                        <c:v>27</c:v>
                      </c:pt>
                      <c:pt idx="14">
                        <c:v>27</c:v>
                      </c:pt>
                      <c:pt idx="15">
                        <c:v>27</c:v>
                      </c:pt>
                      <c:pt idx="16">
                        <c:v>27</c:v>
                      </c:pt>
                      <c:pt idx="17">
                        <c:v>27</c:v>
                      </c:pt>
                      <c:pt idx="18">
                        <c:v>27</c:v>
                      </c:pt>
                    </c:numCache>
                  </c:numRef>
                </c:val>
                <c:smooth val="0"/>
                <c:extLst xmlns:c15="http://schemas.microsoft.com/office/drawing/2012/chart">
                  <c:ext xmlns:c16="http://schemas.microsoft.com/office/drawing/2014/chart" uri="{C3380CC4-5D6E-409C-BE32-E72D297353CC}">
                    <c16:uniqueId val="{00000004-BED4-4EAB-BE7C-C0011CFF8DBA}"/>
                  </c:ext>
                </c:extLst>
              </c15:ser>
            </c15:filteredLineSeries>
          </c:ext>
        </c:extLst>
      </c:lineChart>
      <c:catAx>
        <c:axId val="12412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115840"/>
        <c:crosses val="autoZero"/>
        <c:auto val="1"/>
        <c:lblAlgn val="ctr"/>
        <c:lblOffset val="100"/>
        <c:noMultiLvlLbl val="0"/>
      </c:catAx>
      <c:valAx>
        <c:axId val="124115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Numbers of dwellings</a:t>
                </a:r>
              </a:p>
            </c:rich>
          </c:tx>
          <c:layout>
            <c:manualLayout>
              <c:xMode val="edge"/>
              <c:yMode val="edge"/>
              <c:x val="1.488095238095238E-2"/>
              <c:y val="0.220415308551547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122496"/>
        <c:crosses val="autoZero"/>
        <c:crossBetween val="between"/>
      </c:valAx>
      <c:spPr>
        <a:noFill/>
        <a:ln>
          <a:noFill/>
        </a:ln>
        <a:effectLst/>
      </c:spPr>
    </c:plotArea>
    <c:legend>
      <c:legendPos val="b"/>
      <c:layout>
        <c:manualLayout>
          <c:xMode val="edge"/>
          <c:yMode val="edge"/>
          <c:x val="0.1897303116633034"/>
          <c:y val="0.80106867086919065"/>
          <c:w val="0.67589258629103532"/>
          <c:h val="0.1666627970436079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149789075808423"/>
          <c:y val="0.29398148148148145"/>
          <c:w val="0.60751640419947506"/>
          <c:h val="0.57870370370370372"/>
        </c:manualLayout>
      </c:layout>
      <c:pie3DChart>
        <c:varyColors val="1"/>
        <c:ser>
          <c:idx val="3"/>
          <c:order val="3"/>
          <c:tx>
            <c:strRef>
              <c:f>Densities!$A$13</c:f>
              <c:strCache>
                <c:ptCount val="1"/>
                <c:pt idx="0">
                  <c:v>TOTAL</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9FE-45D6-AA7A-A05A9FE16CA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9FE-45D6-AA7A-A05A9FE16CA9}"/>
              </c:ext>
            </c:extLst>
          </c:dPt>
          <c:dPt>
            <c:idx val="2"/>
            <c:bubble3D val="0"/>
            <c:spPr>
              <a:solidFill>
                <a:schemeClr val="bg1">
                  <a:lumMod val="8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9FE-45D6-AA7A-A05A9FE16CA9}"/>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9FE-45D6-AA7A-A05A9FE16CA9}"/>
              </c:ext>
            </c:extLst>
          </c:dPt>
          <c:dLbls>
            <c:dLbl>
              <c:idx val="0"/>
              <c:layout>
                <c:manualLayout>
                  <c:x val="6.499020019134541E-2"/>
                  <c:y val="7.83254992365498E-3"/>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5571AE03-E3D1-4145-85B7-BAEA2EDBC099}" type="CATEGORYNAME">
                      <a:rPr lang="en-US" sz="1050" b="0"/>
                      <a:pPr>
                        <a:defRPr sz="1050">
                          <a:solidFill>
                            <a:sysClr val="windowText" lastClr="000000"/>
                          </a:solidFill>
                          <a:latin typeface="Arial" panose="020B0604020202020204" pitchFamily="34" charset="0"/>
                          <a:cs typeface="Arial" panose="020B0604020202020204" pitchFamily="34" charset="0"/>
                        </a:defRPr>
                      </a:pPr>
                      <a:t>[CATEGORY NAME]</a:t>
                    </a:fld>
                    <a:endParaRPr lang="en-US" sz="1050" b="0"/>
                  </a:p>
                  <a:p>
                    <a:pPr>
                      <a:defRPr sz="1050">
                        <a:solidFill>
                          <a:sysClr val="windowText" lastClr="000000"/>
                        </a:solidFill>
                        <a:latin typeface="Arial" panose="020B0604020202020204" pitchFamily="34" charset="0"/>
                        <a:cs typeface="Arial" panose="020B0604020202020204" pitchFamily="34" charset="0"/>
                      </a:defRPr>
                    </a:pPr>
                    <a:r>
                      <a:rPr lang="en-US" sz="1050"/>
                      <a:t>23%</a:t>
                    </a:r>
                  </a:p>
                  <a:p>
                    <a:pPr>
                      <a:defRPr sz="1050">
                        <a:solidFill>
                          <a:sysClr val="windowText" lastClr="000000"/>
                        </a:solidFill>
                        <a:latin typeface="Arial" panose="020B0604020202020204" pitchFamily="34" charset="0"/>
                        <a:cs typeface="Arial" panose="020B0604020202020204" pitchFamily="34" charset="0"/>
                      </a:defRPr>
                    </a:pPr>
                    <a:r>
                      <a:rPr lang="en-US" sz="1050" b="0"/>
                      <a:t>(87% last year)</a:t>
                    </a: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32589884256271245"/>
                      <c:h val="0.41598006047723124"/>
                    </c:manualLayout>
                  </c15:layout>
                  <c15:dlblFieldTable/>
                  <c15:showDataLabelsRange val="0"/>
                </c:ext>
                <c:ext xmlns:c16="http://schemas.microsoft.com/office/drawing/2014/chart" uri="{C3380CC4-5D6E-409C-BE32-E72D297353CC}">
                  <c16:uniqueId val="{00000001-C9FE-45D6-AA7A-A05A9FE16CA9}"/>
                </c:ext>
              </c:extLst>
            </c:dLbl>
            <c:dLbl>
              <c:idx val="1"/>
              <c:layout>
                <c:manualLayout>
                  <c:x val="-5.7400812150879783E-2"/>
                  <c:y val="-3.3955112787707631E-2"/>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04032434-2796-498D-86DA-1E9B2FB5E1BC}" type="CATEGORYNAME">
                      <a:rPr lang="en-US" sz="1050" b="0"/>
                      <a:pPr>
                        <a:defRPr sz="1050">
                          <a:solidFill>
                            <a:sysClr val="windowText" lastClr="000000"/>
                          </a:solidFill>
                          <a:latin typeface="Arial" panose="020B0604020202020204" pitchFamily="34" charset="0"/>
                          <a:cs typeface="Arial" panose="020B0604020202020204" pitchFamily="34" charset="0"/>
                        </a:defRPr>
                      </a:pPr>
                      <a:t>[CATEGORY NAME]</a:t>
                    </a:fld>
                    <a:endParaRPr lang="en-US" sz="1050" b="0"/>
                  </a:p>
                  <a:p>
                    <a:pPr>
                      <a:defRPr sz="1050">
                        <a:solidFill>
                          <a:sysClr val="windowText" lastClr="000000"/>
                        </a:solidFill>
                        <a:latin typeface="Arial" panose="020B0604020202020204" pitchFamily="34" charset="0"/>
                        <a:cs typeface="Arial" panose="020B0604020202020204" pitchFamily="34" charset="0"/>
                      </a:defRPr>
                    </a:pPr>
                    <a:r>
                      <a:rPr lang="en-US" sz="1050"/>
                      <a:t>76%</a:t>
                    </a:r>
                  </a:p>
                  <a:p>
                    <a:pPr>
                      <a:defRPr sz="1050">
                        <a:solidFill>
                          <a:sysClr val="windowText" lastClr="000000"/>
                        </a:solidFill>
                        <a:latin typeface="Arial" panose="020B0604020202020204" pitchFamily="34" charset="0"/>
                        <a:cs typeface="Arial" panose="020B0604020202020204" pitchFamily="34" charset="0"/>
                      </a:defRPr>
                    </a:pPr>
                    <a:r>
                      <a:rPr lang="en-US" sz="1050" b="0"/>
                      <a:t>(3% last year)</a:t>
                    </a: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5225488480606589"/>
                      <c:h val="0.33664411245172299"/>
                    </c:manualLayout>
                  </c15:layout>
                  <c15:dlblFieldTable/>
                  <c15:showDataLabelsRange val="0"/>
                </c:ext>
                <c:ext xmlns:c16="http://schemas.microsoft.com/office/drawing/2014/chart" uri="{C3380CC4-5D6E-409C-BE32-E72D297353CC}">
                  <c16:uniqueId val="{00000003-C9FE-45D6-AA7A-A05A9FE16CA9}"/>
                </c:ext>
              </c:extLst>
            </c:dLbl>
            <c:dLbl>
              <c:idx val="2"/>
              <c:layout>
                <c:manualLayout>
                  <c:x val="-6.0028828363667658E-2"/>
                  <c:y val="5.1106254303763358E-3"/>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ABE0B1AF-86ED-4DA6-A201-9B4F66F39872}" type="CATEGORYNAME">
                      <a:rPr lang="en-US" sz="1050" b="0"/>
                      <a:pPr>
                        <a:defRPr sz="1050">
                          <a:solidFill>
                            <a:sysClr val="windowText" lastClr="000000"/>
                          </a:solidFill>
                          <a:latin typeface="Arial" panose="020B0604020202020204" pitchFamily="34" charset="0"/>
                          <a:cs typeface="Arial" panose="020B0604020202020204" pitchFamily="34" charset="0"/>
                        </a:defRPr>
                      </a:pPr>
                      <a:t>[CATEGORY NAME]</a:t>
                    </a:fld>
                    <a:endParaRPr lang="en-US" sz="1050" b="0"/>
                  </a:p>
                  <a:p>
                    <a:pPr>
                      <a:defRPr sz="1050">
                        <a:solidFill>
                          <a:sysClr val="windowText" lastClr="000000"/>
                        </a:solidFill>
                        <a:latin typeface="Arial" panose="020B0604020202020204" pitchFamily="34" charset="0"/>
                        <a:cs typeface="Arial" panose="020B0604020202020204" pitchFamily="34" charset="0"/>
                      </a:defRPr>
                    </a:pPr>
                    <a:r>
                      <a:rPr lang="en-US" sz="1050" b="1"/>
                      <a:t>1%</a:t>
                    </a:r>
                  </a:p>
                  <a:p>
                    <a:pPr>
                      <a:defRPr sz="1050">
                        <a:solidFill>
                          <a:sysClr val="windowText" lastClr="000000"/>
                        </a:solidFill>
                        <a:latin typeface="Arial" panose="020B0604020202020204" pitchFamily="34" charset="0"/>
                        <a:cs typeface="Arial" panose="020B0604020202020204" pitchFamily="34" charset="0"/>
                      </a:defRPr>
                    </a:pPr>
                    <a:r>
                      <a:rPr lang="en-US" sz="1050" b="0"/>
                      <a:t>(5% last year)</a:t>
                    </a: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46900154898670465"/>
                      <c:h val="0.27546281049469579"/>
                    </c:manualLayout>
                  </c15:layout>
                  <c15:dlblFieldTable/>
                  <c15:showDataLabelsRange val="0"/>
                </c:ext>
                <c:ext xmlns:c16="http://schemas.microsoft.com/office/drawing/2014/chart" uri="{C3380CC4-5D6E-409C-BE32-E72D297353CC}">
                  <c16:uniqueId val="{00000005-C9FE-45D6-AA7A-A05A9FE16CA9}"/>
                </c:ext>
              </c:extLst>
            </c:dLbl>
            <c:dLbl>
              <c:idx val="3"/>
              <c:layout>
                <c:manualLayout>
                  <c:x val="0.35337785554583456"/>
                  <c:y val="0.65475459816572357"/>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B2FA0B8A-5BB6-45CF-9AFB-104793D137A4}" type="CATEGORYNAME">
                      <a:rPr lang="en-US" sz="1050" b="0"/>
                      <a:pPr>
                        <a:defRPr sz="1050">
                          <a:solidFill>
                            <a:sysClr val="windowText" lastClr="000000"/>
                          </a:solidFill>
                          <a:latin typeface="Arial" panose="020B0604020202020204" pitchFamily="34" charset="0"/>
                          <a:cs typeface="Arial" panose="020B0604020202020204" pitchFamily="34" charset="0"/>
                        </a:defRPr>
                      </a:pPr>
                      <a:t>[CATEGORY NAME]</a:t>
                    </a:fld>
                    <a:endParaRPr lang="en-US" sz="1050" b="0"/>
                  </a:p>
                  <a:p>
                    <a:pPr>
                      <a:defRPr sz="1050">
                        <a:solidFill>
                          <a:sysClr val="windowText" lastClr="000000"/>
                        </a:solidFill>
                        <a:latin typeface="Arial" panose="020B0604020202020204" pitchFamily="34" charset="0"/>
                        <a:cs typeface="Arial" panose="020B0604020202020204" pitchFamily="34" charset="0"/>
                      </a:defRPr>
                    </a:pPr>
                    <a:r>
                      <a:rPr lang="en-US" sz="1050"/>
                      <a:t>0%</a:t>
                    </a:r>
                  </a:p>
                  <a:p>
                    <a:pPr>
                      <a:defRPr sz="1050">
                        <a:solidFill>
                          <a:sysClr val="windowText" lastClr="000000"/>
                        </a:solidFill>
                        <a:latin typeface="Arial" panose="020B0604020202020204" pitchFamily="34" charset="0"/>
                        <a:cs typeface="Arial" panose="020B0604020202020204" pitchFamily="34" charset="0"/>
                      </a:defRPr>
                    </a:pPr>
                    <a:r>
                      <a:rPr lang="en-US" sz="1050" b="0"/>
                      <a:t>(5% last year)</a:t>
                    </a: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32273024205307671"/>
                      <c:h val="0.36813668253445503"/>
                    </c:manualLayout>
                  </c15:layout>
                  <c15:dlblFieldTable/>
                  <c15:showDataLabelsRange val="0"/>
                </c:ext>
                <c:ext xmlns:c16="http://schemas.microsoft.com/office/drawing/2014/chart" uri="{C3380CC4-5D6E-409C-BE32-E72D297353CC}">
                  <c16:uniqueId val="{00000007-C9FE-45D6-AA7A-A05A9FE16CA9}"/>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(Densities!$B$9,Densities!$D$9,Densities!$F$9,Densities!$H$9)</c:f>
              <c:strCache>
                <c:ptCount val="4"/>
                <c:pt idx="0">
                  <c:v>Less than 30 dwellings per hectare </c:v>
                </c:pt>
                <c:pt idx="1">
                  <c:v>30-50 dwellings per hectare </c:v>
                </c:pt>
                <c:pt idx="2">
                  <c:v>51-100 dwellings per hectare </c:v>
                </c:pt>
                <c:pt idx="3">
                  <c:v>Over 100 dwellings per hectare </c:v>
                </c:pt>
              </c:strCache>
              <c:extLst/>
            </c:strRef>
          </c:cat>
          <c:val>
            <c:numRef>
              <c:f>(Densities!$B$13,Densities!$D$13,Densities!$F$13,Densities!$H$13)</c:f>
              <c:numCache>
                <c:formatCode>General</c:formatCode>
                <c:ptCount val="4"/>
                <c:pt idx="0">
                  <c:v>16</c:v>
                </c:pt>
                <c:pt idx="1">
                  <c:v>53</c:v>
                </c:pt>
                <c:pt idx="2" formatCode="0">
                  <c:v>1</c:v>
                </c:pt>
                <c:pt idx="3" formatCode="0">
                  <c:v>0</c:v>
                </c:pt>
              </c:numCache>
              <c:extLst/>
            </c:numRef>
          </c:val>
          <c:extLst>
            <c:ext xmlns:c16="http://schemas.microsoft.com/office/drawing/2014/chart" uri="{C3380CC4-5D6E-409C-BE32-E72D297353CC}">
              <c16:uniqueId val="{00000008-C9FE-45D6-AA7A-A05A9FE16CA9}"/>
            </c:ext>
          </c:extLst>
        </c:ser>
        <c:dLbls>
          <c:dLblPos val="outEnd"/>
          <c:showLegendKey val="0"/>
          <c:showVal val="1"/>
          <c:showCatName val="0"/>
          <c:showSerName val="0"/>
          <c:showPercent val="0"/>
          <c:showBubbleSize val="0"/>
          <c:showLeaderLines val="1"/>
        </c:dLbls>
        <c:extLst>
          <c:ext xmlns:c15="http://schemas.microsoft.com/office/drawing/2012/chart" uri="{02D57815-91ED-43cb-92C2-25804820EDAC}">
            <c15:filteredPieSeries>
              <c15:ser>
                <c:idx val="0"/>
                <c:order val="0"/>
                <c:tx>
                  <c:strRef>
                    <c:extLst>
                      <c:ext uri="{02D57815-91ED-43cb-92C2-25804820EDAC}">
                        <c15:formulaRef>
                          <c15:sqref>Densities!$A$10</c15:sqref>
                        </c15:formulaRef>
                      </c:ext>
                    </c:extLst>
                    <c:strCache>
                      <c:ptCount val="1"/>
                      <c:pt idx="0">
                        <c:v>National Park (New Forest)</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C9FE-45D6-AA7A-A05A9FE16CA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C9FE-45D6-AA7A-A05A9FE16CA9}"/>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E-C9FE-45D6-AA7A-A05A9FE16CA9}"/>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0-C9FE-45D6-AA7A-A05A9FE16CA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A-C9FE-45D6-AA7A-A05A9FE16CA9}"/>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C-C9FE-45D6-AA7A-A05A9FE16CA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E-C9FE-45D6-AA7A-A05A9FE16CA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10-C9FE-45D6-AA7A-A05A9FE16CA9}"/>
                      </c:ext>
                    </c:extLst>
                  </c:dLbl>
                  <c:spPr>
                    <a:noFill/>
                    <a:ln>
                      <a:noFill/>
                    </a:ln>
                    <a:effectLst/>
                  </c:sp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(Densities!$B$9,Densities!$D$9,Densities!$F$9,Densities!$H$9)</c15:sqref>
                        </c15:formulaRef>
                      </c:ext>
                    </c:extLst>
                    <c:strCache>
                      <c:ptCount val="4"/>
                      <c:pt idx="0">
                        <c:v>Less than 30 dwellings per hectare </c:v>
                      </c:pt>
                      <c:pt idx="1">
                        <c:v>30-50 dwellings per hectare </c:v>
                      </c:pt>
                      <c:pt idx="2">
                        <c:v>51-100 dwellings per hectare </c:v>
                      </c:pt>
                      <c:pt idx="3">
                        <c:v>Over 100 dwellings per hectare </c:v>
                      </c:pt>
                    </c:strCache>
                  </c:strRef>
                </c:cat>
                <c:val>
                  <c:numRef>
                    <c:extLst>
                      <c:ext uri="{02D57815-91ED-43cb-92C2-25804820EDAC}">
                        <c15:formulaRef>
                          <c15:sqref>(Densities!$B$10,Densities!$D$10,Densities!$F$10,Densities!$H$10)</c15:sqref>
                        </c15:formulaRef>
                      </c:ext>
                    </c:extLst>
                    <c:numCache>
                      <c:formatCode>General</c:formatCode>
                      <c:ptCount val="4"/>
                      <c:pt idx="0">
                        <c:v>16</c:v>
                      </c:pt>
                      <c:pt idx="1">
                        <c:v>53</c:v>
                      </c:pt>
                      <c:pt idx="2" formatCode="0">
                        <c:v>1</c:v>
                      </c:pt>
                      <c:pt idx="3">
                        <c:v>0</c:v>
                      </c:pt>
                    </c:numCache>
                  </c:numRef>
                </c:val>
                <c:extLst>
                  <c:ext xmlns:c16="http://schemas.microsoft.com/office/drawing/2014/chart" uri="{C3380CC4-5D6E-409C-BE32-E72D297353CC}">
                    <c16:uniqueId val="{00000011-C9FE-45D6-AA7A-A05A9FE16CA9}"/>
                  </c:ext>
                </c:extLst>
              </c15:ser>
            </c15:filteredPieSeries>
            <c15:filteredPieSeries>
              <c15:ser>
                <c:idx val="1"/>
                <c:order val="1"/>
                <c:tx>
                  <c:strRef>
                    <c:extLst xmlns:c15="http://schemas.microsoft.com/office/drawing/2012/chart">
                      <c:ext xmlns:c15="http://schemas.microsoft.com/office/drawing/2012/chart" uri="{02D57815-91ED-43cb-92C2-25804820EDAC}">
                        <c15:formulaRef>
                          <c15:sqref>Densities!$A$11</c15:sqref>
                        </c15:formulaRef>
                      </c:ext>
                    </c:extLst>
                    <c:strCache>
                      <c:ptCount val="1"/>
                      <c:pt idx="0">
                        <c:v>National Park (Test Valley)</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13-C9FE-45D6-AA7A-A05A9FE16CA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15-C9FE-45D6-AA7A-A05A9FE16CA9}"/>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17-C9FE-45D6-AA7A-A05A9FE16CA9}"/>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19-C9FE-45D6-AA7A-A05A9FE16CA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extLst xmlns:c15="http://schemas.microsoft.com/office/drawing/2012/chart">
                      <c:ext xmlns:c16="http://schemas.microsoft.com/office/drawing/2014/chart" uri="{C3380CC4-5D6E-409C-BE32-E72D297353CC}">
                        <c16:uniqueId val="{00000013-C9FE-45D6-AA7A-A05A9FE16CA9}"/>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0"/>
                    <c:showSerName val="0"/>
                    <c:showPercent val="0"/>
                    <c:showBubbleSize val="0"/>
                    <c:extLst xmlns:c15="http://schemas.microsoft.com/office/drawing/2012/chart">
                      <c:ext xmlns:c16="http://schemas.microsoft.com/office/drawing/2014/chart" uri="{C3380CC4-5D6E-409C-BE32-E72D297353CC}">
                        <c16:uniqueId val="{00000015-C9FE-45D6-AA7A-A05A9FE16CA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0"/>
                    <c:showSerName val="0"/>
                    <c:showPercent val="0"/>
                    <c:showBubbleSize val="0"/>
                    <c:extLst xmlns:c15="http://schemas.microsoft.com/office/drawing/2012/chart">
                      <c:ext xmlns:c16="http://schemas.microsoft.com/office/drawing/2014/chart" uri="{C3380CC4-5D6E-409C-BE32-E72D297353CC}">
                        <c16:uniqueId val="{00000017-C9FE-45D6-AA7A-A05A9FE16CA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1"/>
                    <c:showCatName val="0"/>
                    <c:showSerName val="0"/>
                    <c:showPercent val="0"/>
                    <c:showBubbleSize val="0"/>
                    <c:extLst xmlns:c15="http://schemas.microsoft.com/office/drawing/2012/chart">
                      <c:ext xmlns:c16="http://schemas.microsoft.com/office/drawing/2014/chart" uri="{C3380CC4-5D6E-409C-BE32-E72D297353CC}">
                        <c16:uniqueId val="{00000019-C9FE-45D6-AA7A-A05A9FE16CA9}"/>
                      </c:ext>
                    </c:extLst>
                  </c:dLbl>
                  <c:spPr>
                    <a:noFill/>
                    <a:ln>
                      <a:noFill/>
                    </a:ln>
                    <a:effectLst/>
                  </c:sp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(Densities!$B$9,Densities!$D$9,Densities!$F$9,Densities!$H$9)</c15:sqref>
                        </c15:formulaRef>
                      </c:ext>
                    </c:extLst>
                    <c:strCache>
                      <c:ptCount val="4"/>
                      <c:pt idx="0">
                        <c:v>Less than 30 dwellings per hectare </c:v>
                      </c:pt>
                      <c:pt idx="1">
                        <c:v>30-50 dwellings per hectare </c:v>
                      </c:pt>
                      <c:pt idx="2">
                        <c:v>51-100 dwellings per hectare </c:v>
                      </c:pt>
                      <c:pt idx="3">
                        <c:v>Over 100 dwellings per hectare </c:v>
                      </c:pt>
                    </c:strCache>
                  </c:strRef>
                </c:cat>
                <c:val>
                  <c:numRef>
                    <c:extLst xmlns:c15="http://schemas.microsoft.com/office/drawing/2012/chart">
                      <c:ext xmlns:c15="http://schemas.microsoft.com/office/drawing/2012/chart" uri="{02D57815-91ED-43cb-92C2-25804820EDAC}">
                        <c15:formulaRef>
                          <c15:sqref>(Densities!$B$11,Densities!$D$11,Densities!$F$11,Densities!$H$11)</c15:sqref>
                        </c15:formulaRef>
                      </c:ext>
                    </c:extLst>
                    <c:numCache>
                      <c:formatCode>General</c:formatCode>
                      <c:ptCount val="4"/>
                      <c:pt idx="0">
                        <c:v>0</c:v>
                      </c:pt>
                      <c:pt idx="1">
                        <c:v>0</c:v>
                      </c:pt>
                      <c:pt idx="2" formatCode="0">
                        <c:v>0</c:v>
                      </c:pt>
                      <c:pt idx="3">
                        <c:v>0</c:v>
                      </c:pt>
                    </c:numCache>
                  </c:numRef>
                </c:val>
                <c:extLst xmlns:c15="http://schemas.microsoft.com/office/drawing/2012/chart">
                  <c:ext xmlns:c16="http://schemas.microsoft.com/office/drawing/2014/chart" uri="{C3380CC4-5D6E-409C-BE32-E72D297353CC}">
                    <c16:uniqueId val="{0000001A-C9FE-45D6-AA7A-A05A9FE16CA9}"/>
                  </c:ext>
                </c:extLst>
              </c15:ser>
            </c15:filteredPieSeries>
            <c15:filteredPieSeries>
              <c15:ser>
                <c:idx val="2"/>
                <c:order val="2"/>
                <c:tx>
                  <c:strRef>
                    <c:extLst xmlns:c15="http://schemas.microsoft.com/office/drawing/2012/chart">
                      <c:ext xmlns:c15="http://schemas.microsoft.com/office/drawing/2012/chart" uri="{02D57815-91ED-43cb-92C2-25804820EDAC}">
                        <c15:formulaRef>
                          <c15:sqref>Densities!$A$12</c15:sqref>
                        </c15:formulaRef>
                      </c:ext>
                    </c:extLst>
                    <c:strCache>
                      <c:ptCount val="1"/>
                      <c:pt idx="0">
                        <c:v>National Park (Wiltshire)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1C-C9FE-45D6-AA7A-A05A9FE16CA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1E-C9FE-45D6-AA7A-A05A9FE16CA9}"/>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20-C9FE-45D6-AA7A-A05A9FE16CA9}"/>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5="http://schemas.microsoft.com/office/drawing/2012/chart">
                    <c:ext xmlns:c16="http://schemas.microsoft.com/office/drawing/2014/chart" uri="{C3380CC4-5D6E-409C-BE32-E72D297353CC}">
                      <c16:uniqueId val="{00000022-C9FE-45D6-AA7A-A05A9FE16CA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extLst xmlns:c15="http://schemas.microsoft.com/office/drawing/2012/chart">
                      <c:ext xmlns:c16="http://schemas.microsoft.com/office/drawing/2014/chart" uri="{C3380CC4-5D6E-409C-BE32-E72D297353CC}">
                        <c16:uniqueId val="{0000001C-C9FE-45D6-AA7A-A05A9FE16CA9}"/>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0"/>
                    <c:showSerName val="0"/>
                    <c:showPercent val="0"/>
                    <c:showBubbleSize val="0"/>
                    <c:extLst xmlns:c15="http://schemas.microsoft.com/office/drawing/2012/chart">
                      <c:ext xmlns:c16="http://schemas.microsoft.com/office/drawing/2014/chart" uri="{C3380CC4-5D6E-409C-BE32-E72D297353CC}">
                        <c16:uniqueId val="{0000001E-C9FE-45D6-AA7A-A05A9FE16CA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0"/>
                    <c:showSerName val="0"/>
                    <c:showPercent val="0"/>
                    <c:showBubbleSize val="0"/>
                    <c:extLst xmlns:c15="http://schemas.microsoft.com/office/drawing/2012/chart">
                      <c:ext xmlns:c16="http://schemas.microsoft.com/office/drawing/2014/chart" uri="{C3380CC4-5D6E-409C-BE32-E72D297353CC}">
                        <c16:uniqueId val="{00000020-C9FE-45D6-AA7A-A05A9FE16CA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1"/>
                    <c:showCatName val="0"/>
                    <c:showSerName val="0"/>
                    <c:showPercent val="0"/>
                    <c:showBubbleSize val="0"/>
                    <c:extLst xmlns:c15="http://schemas.microsoft.com/office/drawing/2012/chart">
                      <c:ext xmlns:c16="http://schemas.microsoft.com/office/drawing/2014/chart" uri="{C3380CC4-5D6E-409C-BE32-E72D297353CC}">
                        <c16:uniqueId val="{00000022-C9FE-45D6-AA7A-A05A9FE16CA9}"/>
                      </c:ext>
                    </c:extLst>
                  </c:dLbl>
                  <c:spPr>
                    <a:noFill/>
                    <a:ln>
                      <a:noFill/>
                    </a:ln>
                    <a:effectLst/>
                  </c:sp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(Densities!$B$9,Densities!$D$9,Densities!$F$9,Densities!$H$9)</c15:sqref>
                        </c15:formulaRef>
                      </c:ext>
                    </c:extLst>
                    <c:strCache>
                      <c:ptCount val="4"/>
                      <c:pt idx="0">
                        <c:v>Less than 30 dwellings per hectare </c:v>
                      </c:pt>
                      <c:pt idx="1">
                        <c:v>30-50 dwellings per hectare </c:v>
                      </c:pt>
                      <c:pt idx="2">
                        <c:v>51-100 dwellings per hectare </c:v>
                      </c:pt>
                      <c:pt idx="3">
                        <c:v>Over 100 dwellings per hectare </c:v>
                      </c:pt>
                    </c:strCache>
                  </c:strRef>
                </c:cat>
                <c:val>
                  <c:numRef>
                    <c:extLst xmlns:c15="http://schemas.microsoft.com/office/drawing/2012/chart">
                      <c:ext xmlns:c15="http://schemas.microsoft.com/office/drawing/2012/chart" uri="{02D57815-91ED-43cb-92C2-25804820EDAC}">
                        <c15:formulaRef>
                          <c15:sqref>(Densities!$B$12,Densities!$D$12,Densities!$F$12,Densities!$H$12)</c15:sqref>
                        </c15:formulaRef>
                      </c:ext>
                    </c:extLst>
                    <c:numCache>
                      <c:formatCode>General</c:formatCode>
                      <c:ptCount val="4"/>
                      <c:pt idx="0">
                        <c:v>0</c:v>
                      </c:pt>
                      <c:pt idx="1">
                        <c:v>0</c:v>
                      </c:pt>
                      <c:pt idx="2" formatCode="0">
                        <c:v>0</c:v>
                      </c:pt>
                      <c:pt idx="3">
                        <c:v>0</c:v>
                      </c:pt>
                    </c:numCache>
                  </c:numRef>
                </c:val>
                <c:extLst xmlns:c15="http://schemas.microsoft.com/office/drawing/2012/chart">
                  <c:ext xmlns:c16="http://schemas.microsoft.com/office/drawing/2014/chart" uri="{C3380CC4-5D6E-409C-BE32-E72D297353CC}">
                    <c16:uniqueId val="{00000023-C9FE-45D6-AA7A-A05A9FE16CA9}"/>
                  </c:ext>
                </c:extLst>
              </c15:ser>
            </c15:filteredPieSeries>
          </c:ext>
        </c:extLst>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(Employment!$K$25,Employment!$K$27:$K$30)</c:f>
              <c:strCache>
                <c:ptCount val="5"/>
                <c:pt idx="0">
                  <c:v>B1-8</c:v>
                </c:pt>
                <c:pt idx="1">
                  <c:v>E - Commercial (former B1 uses) </c:v>
                </c:pt>
                <c:pt idx="2">
                  <c:v>B2 - Industrial</c:v>
                </c:pt>
                <c:pt idx="3">
                  <c:v>B1 - office</c:v>
                </c:pt>
                <c:pt idx="4">
                  <c:v>EG / B8</c:v>
                </c:pt>
              </c:strCache>
              <c:extLst/>
            </c:strRef>
          </c:cat>
          <c:val>
            <c:numRef>
              <c:f>(Employment!$L$25,Employment!$L$27:$L$30)</c:f>
              <c:numCache>
                <c:formatCode>General</c:formatCode>
                <c:ptCount val="5"/>
                <c:pt idx="0" formatCode="0">
                  <c:v>1418</c:v>
                </c:pt>
                <c:pt idx="1">
                  <c:v>239</c:v>
                </c:pt>
                <c:pt idx="2">
                  <c:v>211</c:v>
                </c:pt>
                <c:pt idx="3" formatCode="0">
                  <c:v>575</c:v>
                </c:pt>
                <c:pt idx="4" formatCode="0">
                  <c:v>611</c:v>
                </c:pt>
              </c:numCache>
              <c:extLst/>
            </c:numRef>
          </c:val>
          <c:extLst>
            <c:ext xmlns:c16="http://schemas.microsoft.com/office/drawing/2014/chart" uri="{C3380CC4-5D6E-409C-BE32-E72D297353CC}">
              <c16:uniqueId val="{00000000-7AA8-4C14-BC78-1779FEE1D243}"/>
            </c:ext>
          </c:extLst>
        </c:ser>
        <c:dLbls>
          <c:showLegendKey val="0"/>
          <c:showVal val="0"/>
          <c:showCatName val="0"/>
          <c:showSerName val="0"/>
          <c:showPercent val="0"/>
          <c:showBubbleSize val="0"/>
        </c:dLbls>
        <c:gapWidth val="115"/>
        <c:overlap val="-20"/>
        <c:axId val="1650788832"/>
        <c:axId val="1648784688"/>
      </c:barChart>
      <c:catAx>
        <c:axId val="165078883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48784688"/>
        <c:crosses val="autoZero"/>
        <c:auto val="1"/>
        <c:lblAlgn val="ctr"/>
        <c:lblOffset val="100"/>
        <c:noMultiLvlLbl val="0"/>
      </c:catAx>
      <c:valAx>
        <c:axId val="16487846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Floorspace (m</a:t>
                </a:r>
                <a:r>
                  <a:rPr lang="en-US" sz="1000" baseline="30000">
                    <a:latin typeface="Arial" panose="020B0604020202020204" pitchFamily="34" charset="0"/>
                    <a:cs typeface="Arial" panose="020B0604020202020204" pitchFamily="34" charset="0"/>
                  </a:rPr>
                  <a:t>2</a:t>
                </a:r>
                <a:r>
                  <a:rPr lang="en-US" sz="1000">
                    <a:latin typeface="Arial" panose="020B0604020202020204" pitchFamily="34" charset="0"/>
                    <a:cs typeface="Arial" panose="020B0604020202020204" pitchFamily="34" charset="0"/>
                  </a:rPr>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50788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s" ma:contentTypeID="0x0101001C6EAACD4297A34FB78066705EE5CBDF30002FE1950792598E40B82491753CEBD490" ma:contentTypeVersion="8" ma:contentTypeDescription="" ma:contentTypeScope="" ma:versionID="6939eaa2b72e66e0cdd28e2dea4c811b">
  <xsd:schema xmlns:xsd="http://www.w3.org/2001/XMLSchema" xmlns:xs="http://www.w3.org/2001/XMLSchema" xmlns:p="http://schemas.microsoft.com/office/2006/metadata/properties" xmlns:ns2="0d9f437b-24a1-4d4b-99aa-fd8e09d4943c" targetNamespace="http://schemas.microsoft.com/office/2006/metadata/properties" ma:root="true" ma:fieldsID="bd2eccb0cfd98262c91b5532411814dd" ns2:_="">
    <xsd:import namespace="0d9f437b-24a1-4d4b-99aa-fd8e09d4943c"/>
    <xsd:element name="properties">
      <xsd:complexType>
        <xsd:sequence>
          <xsd:element name="documentManagement">
            <xsd:complexType>
              <xsd:all>
                <xsd:element ref="ns2:Theme" minOccurs="0"/>
                <xsd:element ref="ns2:Reference" minOccurs="0"/>
                <xsd:element ref="ns2:Year_x0020_published" minOccurs="0"/>
                <xsd:element ref="ns2:Organisation_x0020_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f437b-24a1-4d4b-99aa-fd8e09d4943c" elementFormDefault="qualified">
    <xsd:import namespace="http://schemas.microsoft.com/office/2006/documentManagement/types"/>
    <xsd:import namespace="http://schemas.microsoft.com/office/infopath/2007/PartnerControls"/>
    <xsd:element name="Theme" ma:index="8" nillable="true" ma:displayName="Theme" ma:format="Dropdown" ma:internalName="Theme">
      <xsd:complexType>
        <xsd:complexContent>
          <xsd:extension base="dms:MultiChoice">
            <xsd:sequence>
              <xsd:element name="Value" maxOccurs="unbounded" minOccurs="0" nillable="true">
                <xsd:simpleType>
                  <xsd:restriction base="dms:Choice">
                    <xsd:enumeration value="Housing"/>
                    <xsd:enumeration value="Employment"/>
                    <xsd:enumeration value="Unemployment"/>
                    <xsd:enumeration value="Retail"/>
                    <xsd:enumeration value="Natural Environment"/>
                    <xsd:enumeration value="Heritage"/>
                    <xsd:enumeration value="Transport"/>
                    <xsd:enumeration value="Population"/>
                  </xsd:restriction>
                </xsd:simpleType>
              </xsd:element>
            </xsd:sequence>
          </xsd:extension>
        </xsd:complexContent>
      </xsd:complexType>
    </xsd:element>
    <xsd:element name="Reference" ma:index="9" nillable="true" ma:displayName="Reference" ma:format="Dropdown" ma:internalName="Reference">
      <xsd:simpleType>
        <xsd:restriction base="dms:Choice">
          <xsd:enumeration value="PRLG"/>
          <xsd:enumeration value="AMR"/>
          <xsd:enumeration value="Data"/>
        </xsd:restriction>
      </xsd:simpleType>
    </xsd:element>
    <xsd:element name="Year_x0020_published" ma:index="10" nillable="true" ma:displayName="Year published" ma:format="Dropdown" ma:internalName="Year_x0020_published">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Organisation_x0020_published" ma:index="11" nillable="true" ma:displayName="Organisation published" ma:format="Dropdown" ma:internalName="Organisation_x0020_published">
      <xsd:simpleType>
        <xsd:restriction base="dms:Choice">
          <xsd:enumeration value="NFNPA"/>
          <xsd:enumeration value="Local Authority"/>
          <xsd:enumeration value="Government"/>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9e60fe8-607a-4d99-80bb-697715a5c521" ContentTypeId="0x0101001C6EAACD4297A34FB78066705EE5CBDF30" PreviousValue="false"/>
</file>

<file path=customXml/item3.xml><?xml version="1.0" encoding="utf-8"?>
<p:properties xmlns:p="http://schemas.microsoft.com/office/2006/metadata/properties" xmlns:xsi="http://www.w3.org/2001/XMLSchema-instance" xmlns:pc="http://schemas.microsoft.com/office/infopath/2007/PartnerControls">
  <documentManagement>
    <Year_x0020_published xmlns="0d9f437b-24a1-4d4b-99aa-fd8e09d4943c">2026</Year_x0020_published>
    <Reference xmlns="0d9f437b-24a1-4d4b-99aa-fd8e09d4943c">AMR</Reference>
    <Theme xmlns="0d9f437b-24a1-4d4b-99aa-fd8e09d4943c">
      <Value>Housing</Value>
      <Value>Employment</Value>
      <Value>Natural Environment</Value>
    </Theme>
    <Organisation_x0020_published xmlns="0d9f437b-24a1-4d4b-99aa-fd8e09d4943c">NFNPA</Organisation_x0020_publish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0A7C6-7882-4B54-9D4E-DEA4C2691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f437b-24a1-4d4b-99aa-fd8e09d49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823EF-2CE6-48EF-B913-85BA71AB1ABF}">
  <ds:schemaRefs>
    <ds:schemaRef ds:uri="Microsoft.SharePoint.Taxonomy.ContentTypeSync"/>
  </ds:schemaRefs>
</ds:datastoreItem>
</file>

<file path=customXml/itemProps3.xml><?xml version="1.0" encoding="utf-8"?>
<ds:datastoreItem xmlns:ds="http://schemas.openxmlformats.org/officeDocument/2006/customXml" ds:itemID="{D248CEBE-3637-485F-ADF8-836D35A7F317}">
  <ds:schemaRefs>
    <ds:schemaRef ds:uri="http://schemas.microsoft.com/office/2006/metadata/properties"/>
    <ds:schemaRef ds:uri="http://schemas.microsoft.com/office/infopath/2007/PartnerControls"/>
    <ds:schemaRef ds:uri="0d9f437b-24a1-4d4b-99aa-fd8e09d4943c"/>
  </ds:schemaRefs>
</ds:datastoreItem>
</file>

<file path=customXml/itemProps4.xml><?xml version="1.0" encoding="utf-8"?>
<ds:datastoreItem xmlns:ds="http://schemas.openxmlformats.org/officeDocument/2006/customXml" ds:itemID="{542A8188-789D-4FE5-81BD-709B7DAA36C3}">
  <ds:schemaRefs>
    <ds:schemaRef ds:uri="http://schemas.openxmlformats.org/officeDocument/2006/bibliography"/>
  </ds:schemaRefs>
</ds:datastoreItem>
</file>

<file path=customXml/itemProps5.xml><?xml version="1.0" encoding="utf-8"?>
<ds:datastoreItem xmlns:ds="http://schemas.openxmlformats.org/officeDocument/2006/customXml" ds:itemID="{EB2E65FE-3A8D-4A8C-8B6C-81DFAA627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11287</Words>
  <Characters>62572</Characters>
  <Application>Microsoft Office Word</Application>
  <DocSecurity>4</DocSecurity>
  <Lines>1664</Lines>
  <Paragraphs>459</Paragraphs>
  <ScaleCrop>false</ScaleCrop>
  <Company/>
  <LinksUpToDate>false</LinksUpToDate>
  <CharactersWithSpaces>73562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Applegate</dc:creator>
  <cp:keywords/>
  <dc:description/>
  <cp:lastModifiedBy>Maria Court</cp:lastModifiedBy>
  <cp:revision>2</cp:revision>
  <dcterms:created xsi:type="dcterms:W3CDTF">2026-06-11T09:54:00Z</dcterms:created>
  <dcterms:modified xsi:type="dcterms:W3CDTF">2026-06-11T09:54:00Z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0x0101001C6EAACD4297A34FB78066705EE5CBDF30002FE1950792598E40B82491753CEBD490</vt:lpwstr>
  </property>
</Properties>
</file>