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2FF16" w14:textId="77777777" w:rsidR="004466FA" w:rsidRDefault="004200E5" w:rsidP="00EA2C66">
      <w:pPr>
        <w:pStyle w:val="Footer"/>
        <w:numPr>
          <w:ilvl w:val="0"/>
          <w:numId w:val="9"/>
        </w:numPr>
        <w:ind w:left="709" w:right="-43" w:hanging="709"/>
        <w:jc w:val="both"/>
      </w:pPr>
      <w:r>
        <w:rPr>
          <w:b/>
          <w:bCs/>
        </w:rPr>
        <w:t>Aim of the policy</w:t>
      </w:r>
    </w:p>
    <w:p w14:paraId="56B0A52A" w14:textId="77777777" w:rsidR="004466FA" w:rsidRDefault="004200E5" w:rsidP="00EA2C66">
      <w:pPr>
        <w:pStyle w:val="BodyTextIndent2"/>
        <w:ind w:left="840" w:right="-43" w:hanging="840"/>
        <w:jc w:val="both"/>
      </w:pPr>
      <w:r>
        <w:t xml:space="preserve"> </w:t>
      </w:r>
    </w:p>
    <w:p w14:paraId="51BD229C" w14:textId="77777777" w:rsidR="004466FA" w:rsidRDefault="004200E5" w:rsidP="00EA2C66">
      <w:pPr>
        <w:pStyle w:val="Default"/>
        <w:ind w:left="709" w:right="-43" w:hanging="709"/>
        <w:jc w:val="both"/>
        <w:rPr>
          <w:color w:val="auto"/>
        </w:rPr>
      </w:pPr>
      <w:r>
        <w:rPr>
          <w:color w:val="auto"/>
        </w:rPr>
        <w:t xml:space="preserve">1.1 </w:t>
      </w:r>
      <w:r w:rsidR="00337F7C">
        <w:rPr>
          <w:color w:val="auto"/>
        </w:rPr>
        <w:tab/>
      </w:r>
      <w:r>
        <w:rPr>
          <w:color w:val="auto"/>
        </w:rPr>
        <w:t xml:space="preserve">To provide all staff members with a working environment that ensures everyone is treated fairly and with respect regardless of their background or ability.  The Authority is committed to valuing all people as individuals and </w:t>
      </w:r>
      <w:proofErr w:type="spellStart"/>
      <w:r>
        <w:rPr>
          <w:color w:val="auto"/>
        </w:rPr>
        <w:t>recognising</w:t>
      </w:r>
      <w:proofErr w:type="spellEnd"/>
      <w:r>
        <w:rPr>
          <w:color w:val="auto"/>
        </w:rPr>
        <w:t xml:space="preserve"> their personal abilities and strengths in order to gain from the diversity of its staff members.</w:t>
      </w:r>
    </w:p>
    <w:p w14:paraId="5FE5A49E" w14:textId="77777777" w:rsidR="009025A6" w:rsidRDefault="009025A6" w:rsidP="00EA2C66">
      <w:pPr>
        <w:pStyle w:val="Default"/>
        <w:ind w:left="840" w:right="-43" w:hanging="840"/>
        <w:jc w:val="both"/>
        <w:rPr>
          <w:color w:val="auto"/>
        </w:rPr>
      </w:pPr>
    </w:p>
    <w:p w14:paraId="07E93B76" w14:textId="77777777" w:rsidR="004466FA" w:rsidRPr="00B54668" w:rsidRDefault="004200E5" w:rsidP="00EA2C66">
      <w:pPr>
        <w:pStyle w:val="Heading2"/>
        <w:spacing w:before="0"/>
        <w:ind w:left="709" w:right="-43" w:hanging="709"/>
        <w:jc w:val="both"/>
        <w:rPr>
          <w:rFonts w:ascii="Arial" w:hAnsi="Arial" w:cs="Arial"/>
          <w:sz w:val="24"/>
          <w:szCs w:val="24"/>
        </w:rPr>
      </w:pPr>
      <w:r w:rsidRPr="00B54668">
        <w:rPr>
          <w:rFonts w:ascii="Arial" w:hAnsi="Arial" w:cs="Arial"/>
          <w:bCs w:val="0"/>
          <w:sz w:val="24"/>
          <w:szCs w:val="24"/>
        </w:rPr>
        <w:t xml:space="preserve">2 </w:t>
      </w:r>
      <w:r w:rsidR="00337F7C">
        <w:rPr>
          <w:rFonts w:ascii="Arial" w:hAnsi="Arial" w:cs="Arial"/>
          <w:bCs w:val="0"/>
          <w:sz w:val="24"/>
          <w:szCs w:val="24"/>
        </w:rPr>
        <w:tab/>
      </w:r>
      <w:r w:rsidR="009025A6">
        <w:rPr>
          <w:rFonts w:ascii="Arial" w:hAnsi="Arial" w:cs="Arial"/>
          <w:bCs w:val="0"/>
          <w:sz w:val="24"/>
          <w:szCs w:val="24"/>
        </w:rPr>
        <w:t>Purpose</w:t>
      </w:r>
    </w:p>
    <w:p w14:paraId="199ACD39" w14:textId="77777777" w:rsidR="009025A6" w:rsidRDefault="009025A6" w:rsidP="00EA2C66">
      <w:pPr>
        <w:pStyle w:val="Default"/>
        <w:ind w:left="840" w:right="-43" w:hanging="840"/>
        <w:jc w:val="both"/>
        <w:rPr>
          <w:color w:val="auto"/>
        </w:rPr>
      </w:pPr>
    </w:p>
    <w:p w14:paraId="62BFD5C0" w14:textId="77777777" w:rsidR="00337F7C" w:rsidRDefault="004200E5" w:rsidP="00EA2C66">
      <w:pPr>
        <w:pStyle w:val="BodyTextIndent"/>
        <w:ind w:left="709" w:right="-43" w:hanging="709"/>
        <w:jc w:val="both"/>
      </w:pPr>
      <w:r>
        <w:t xml:space="preserve">2.1 </w:t>
      </w:r>
      <w:r w:rsidR="00337F7C">
        <w:tab/>
      </w:r>
      <w:r>
        <w:t xml:space="preserve">The Authority </w:t>
      </w:r>
      <w:proofErr w:type="spellStart"/>
      <w:r>
        <w:t>recognises</w:t>
      </w:r>
      <w:proofErr w:type="spellEnd"/>
      <w:r>
        <w:t xml:space="preserve"> that not only is it in the interests of individuals, but it makes good business sense, to ensure all staff members are treated with dignity and respect in order that they may feel comfortable and confident in their working environment. </w:t>
      </w:r>
    </w:p>
    <w:p w14:paraId="747822FA" w14:textId="77777777" w:rsidR="00337F7C" w:rsidRDefault="00337F7C" w:rsidP="00EA2C66">
      <w:pPr>
        <w:pStyle w:val="BodyTextIndent"/>
        <w:ind w:left="840" w:right="-43" w:hanging="840"/>
        <w:jc w:val="both"/>
      </w:pPr>
    </w:p>
    <w:p w14:paraId="3FE2D72B" w14:textId="77777777" w:rsidR="00337F7C" w:rsidRDefault="00337F7C" w:rsidP="00EA2C66">
      <w:pPr>
        <w:pStyle w:val="BodyTextIndent"/>
        <w:ind w:left="709" w:right="-43" w:hanging="709"/>
        <w:jc w:val="both"/>
      </w:pPr>
      <w:r>
        <w:t>2.2</w:t>
      </w:r>
      <w:r>
        <w:tab/>
      </w:r>
      <w:r w:rsidR="004200E5">
        <w:t xml:space="preserve">No staff member or prospective staff member will receive less </w:t>
      </w:r>
      <w:r w:rsidR="004200E5" w:rsidRPr="00E35C30">
        <w:rPr>
          <w:lang w:val="en-GB"/>
        </w:rPr>
        <w:t>favourable</w:t>
      </w:r>
      <w:r w:rsidR="004200E5">
        <w:t xml:space="preserve"> treatment on grounds of </w:t>
      </w:r>
      <w:r w:rsidR="00B84574">
        <w:t xml:space="preserve">age, disability, gender reassignment, race, religion or belief, sex, sexual orientation, marriage and civil partnership, pregnancy and maternity. </w:t>
      </w:r>
      <w:r w:rsidR="004200E5">
        <w:t xml:space="preserve"> </w:t>
      </w:r>
    </w:p>
    <w:p w14:paraId="7C655A52" w14:textId="77777777" w:rsidR="00337F7C" w:rsidRDefault="00337F7C" w:rsidP="00EA2C66">
      <w:pPr>
        <w:pStyle w:val="BodyTextIndent"/>
        <w:ind w:left="840" w:right="-43" w:hanging="840"/>
        <w:jc w:val="both"/>
      </w:pPr>
    </w:p>
    <w:p w14:paraId="5746E37D" w14:textId="77777777" w:rsidR="004466FA" w:rsidRDefault="00337F7C" w:rsidP="00EA2C66">
      <w:pPr>
        <w:pStyle w:val="BodyTextIndent"/>
        <w:ind w:left="709" w:right="-43" w:hanging="709"/>
        <w:jc w:val="both"/>
        <w:rPr>
          <w:color w:val="0000FF"/>
        </w:rPr>
      </w:pPr>
      <w:r>
        <w:t>2.3</w:t>
      </w:r>
      <w:r>
        <w:tab/>
        <w:t>The</w:t>
      </w:r>
      <w:r w:rsidR="004200E5">
        <w:t xml:space="preserve"> purpose </w:t>
      </w:r>
      <w:r>
        <w:t xml:space="preserve">of the policy </w:t>
      </w:r>
      <w:r w:rsidR="004200E5">
        <w:t>is also to ensure a positive attitude is ad</w:t>
      </w:r>
      <w:r w:rsidR="00580AF1">
        <w:t>opted towards all staff members where fairness and equity of treatment is paramount.</w:t>
      </w:r>
      <w:r w:rsidR="009025A6">
        <w:t xml:space="preserve">  </w:t>
      </w:r>
      <w:r w:rsidR="004200E5">
        <w:t xml:space="preserve">Everyone has the right to work in an environment free from harassment, bullying </w:t>
      </w:r>
      <w:r w:rsidR="00B84574">
        <w:t>or</w:t>
      </w:r>
      <w:r w:rsidR="004200E5">
        <w:t xml:space="preserve"> intimidation, and the associated stresses that they cause.  </w:t>
      </w:r>
      <w:r w:rsidR="004200E5">
        <w:rPr>
          <w:color w:val="0000FF"/>
        </w:rPr>
        <w:t xml:space="preserve"> </w:t>
      </w:r>
    </w:p>
    <w:p w14:paraId="55921B3C" w14:textId="77777777" w:rsidR="00580AF1" w:rsidRDefault="004200E5" w:rsidP="00EA2C66">
      <w:pPr>
        <w:pStyle w:val="Default"/>
        <w:ind w:left="840" w:right="-43" w:hanging="840"/>
        <w:jc w:val="both"/>
      </w:pPr>
      <w:r>
        <w:t xml:space="preserve"> </w:t>
      </w:r>
    </w:p>
    <w:p w14:paraId="612BAB0E" w14:textId="77777777" w:rsidR="004466FA" w:rsidRDefault="00B84574" w:rsidP="00EA2C66">
      <w:pPr>
        <w:pStyle w:val="Default"/>
        <w:ind w:left="709" w:right="-43" w:hanging="709"/>
        <w:jc w:val="both"/>
      </w:pPr>
      <w:r>
        <w:rPr>
          <w:b/>
          <w:bCs/>
        </w:rPr>
        <w:t>3</w:t>
      </w:r>
      <w:r w:rsidR="0042262E">
        <w:rPr>
          <w:b/>
          <w:bCs/>
        </w:rPr>
        <w:t>.0</w:t>
      </w:r>
      <w:r>
        <w:rPr>
          <w:b/>
          <w:bCs/>
        </w:rPr>
        <w:t xml:space="preserve"> </w:t>
      </w:r>
      <w:r w:rsidR="00337F7C">
        <w:rPr>
          <w:b/>
          <w:bCs/>
        </w:rPr>
        <w:tab/>
      </w:r>
      <w:r>
        <w:rPr>
          <w:b/>
          <w:bCs/>
        </w:rPr>
        <w:t xml:space="preserve">Individuals </w:t>
      </w:r>
      <w:r w:rsidR="009025A6">
        <w:rPr>
          <w:b/>
          <w:bCs/>
        </w:rPr>
        <w:t>a</w:t>
      </w:r>
      <w:r>
        <w:rPr>
          <w:b/>
          <w:bCs/>
        </w:rPr>
        <w:t>ffected</w:t>
      </w:r>
      <w:r w:rsidR="004200E5">
        <w:rPr>
          <w:b/>
          <w:bCs/>
        </w:rPr>
        <w:t xml:space="preserve"> </w:t>
      </w:r>
    </w:p>
    <w:p w14:paraId="634E2541" w14:textId="77777777" w:rsidR="004466FA" w:rsidRDefault="004200E5" w:rsidP="00EA2C66">
      <w:pPr>
        <w:pStyle w:val="Default"/>
        <w:ind w:left="840" w:right="-43" w:hanging="840"/>
        <w:jc w:val="both"/>
      </w:pPr>
      <w:r>
        <w:t xml:space="preserve">  </w:t>
      </w:r>
    </w:p>
    <w:p w14:paraId="47F82167" w14:textId="77777777" w:rsidR="00580AF1" w:rsidRDefault="004200E5" w:rsidP="00EA2C66">
      <w:pPr>
        <w:pStyle w:val="Default"/>
        <w:ind w:left="709" w:right="-43" w:hanging="709"/>
        <w:jc w:val="both"/>
      </w:pPr>
      <w:r>
        <w:t xml:space="preserve">3.1 </w:t>
      </w:r>
      <w:r w:rsidR="00337F7C">
        <w:tab/>
      </w:r>
      <w:r>
        <w:t xml:space="preserve">This policy covers all staff members at all levels within the Authority.  It also applies to elected Authority members who have a duty to treat all staff members with respect and dignity at all times.  </w:t>
      </w:r>
    </w:p>
    <w:p w14:paraId="152650C0" w14:textId="77777777" w:rsidR="00580AF1" w:rsidRDefault="00580AF1" w:rsidP="00EA2C66">
      <w:pPr>
        <w:pStyle w:val="Default"/>
        <w:ind w:left="840" w:right="-43" w:hanging="840"/>
        <w:jc w:val="both"/>
      </w:pPr>
    </w:p>
    <w:p w14:paraId="79F4918A" w14:textId="77777777" w:rsidR="004466FA" w:rsidRDefault="00580AF1" w:rsidP="00EA2C66">
      <w:pPr>
        <w:pStyle w:val="Default"/>
        <w:ind w:left="709" w:right="-43" w:hanging="709"/>
        <w:jc w:val="both"/>
        <w:rPr>
          <w:color w:val="0000FF"/>
        </w:rPr>
      </w:pPr>
      <w:r>
        <w:t>3.2</w:t>
      </w:r>
      <w:r>
        <w:tab/>
      </w:r>
      <w:r w:rsidR="004200E5">
        <w:t>All staff members have a duty to treat all third party operatives and suppliers with dignity and respect at all times.</w:t>
      </w:r>
      <w:r w:rsidR="004200E5">
        <w:rPr>
          <w:color w:val="0000FF"/>
        </w:rPr>
        <w:t xml:space="preserve">  </w:t>
      </w:r>
    </w:p>
    <w:p w14:paraId="36805963" w14:textId="77777777" w:rsidR="004466FA" w:rsidRDefault="004200E5" w:rsidP="00EA2C66">
      <w:pPr>
        <w:pStyle w:val="Default"/>
        <w:ind w:left="840" w:right="-43" w:hanging="840"/>
        <w:jc w:val="both"/>
      </w:pPr>
      <w:r>
        <w:t xml:space="preserve"> </w:t>
      </w:r>
    </w:p>
    <w:p w14:paraId="74F20759" w14:textId="77777777" w:rsidR="004466FA" w:rsidRDefault="004200E5" w:rsidP="00EA2C66">
      <w:pPr>
        <w:pStyle w:val="Default"/>
        <w:ind w:left="709" w:right="-43" w:hanging="709"/>
        <w:jc w:val="both"/>
      </w:pPr>
      <w:r>
        <w:t>3.</w:t>
      </w:r>
      <w:r w:rsidR="00EA2C66">
        <w:t>3</w:t>
      </w:r>
      <w:r>
        <w:t xml:space="preserve"> </w:t>
      </w:r>
      <w:r w:rsidR="00337F7C">
        <w:tab/>
      </w:r>
      <w:r w:rsidR="00912C89">
        <w:t xml:space="preserve">If a staff member believes </w:t>
      </w:r>
      <w:r w:rsidR="00005F9C">
        <w:t>they have been subjected to bullying or harassment</w:t>
      </w:r>
      <w:r w:rsidR="00912C89">
        <w:t xml:space="preserve"> </w:t>
      </w:r>
      <w:r w:rsidR="00005F9C">
        <w:t>they can</w:t>
      </w:r>
      <w:r>
        <w:t xml:space="preserve"> raise a complaint about the situation through the Harassment and Bullying</w:t>
      </w:r>
      <w:r>
        <w:rPr>
          <w:i/>
          <w:iCs/>
        </w:rPr>
        <w:t xml:space="preserve"> </w:t>
      </w:r>
      <w:r>
        <w:t>Policy</w:t>
      </w:r>
      <w:r>
        <w:rPr>
          <w:i/>
          <w:iCs/>
        </w:rPr>
        <w:t xml:space="preserve"> </w:t>
      </w:r>
      <w:r>
        <w:t>as the Authority has a duty of care to protect its</w:t>
      </w:r>
      <w:r w:rsidR="00912C89">
        <w:t xml:space="preserve"> staff members </w:t>
      </w:r>
      <w:r>
        <w:t xml:space="preserve">from this type of </w:t>
      </w:r>
      <w:proofErr w:type="spellStart"/>
      <w:r>
        <w:t>behaviour</w:t>
      </w:r>
      <w:proofErr w:type="spellEnd"/>
      <w:r>
        <w:t xml:space="preserve">. </w:t>
      </w:r>
    </w:p>
    <w:p w14:paraId="0410E01D" w14:textId="77777777" w:rsidR="004466FA" w:rsidRDefault="004200E5" w:rsidP="00EA2C66">
      <w:pPr>
        <w:pStyle w:val="Default"/>
        <w:ind w:left="840" w:right="-43" w:hanging="840"/>
        <w:jc w:val="both"/>
      </w:pPr>
      <w:r>
        <w:t xml:space="preserve"> </w:t>
      </w:r>
    </w:p>
    <w:p w14:paraId="167278E7" w14:textId="77777777" w:rsidR="009025A6" w:rsidRDefault="004200E5" w:rsidP="00EA2C66">
      <w:pPr>
        <w:pStyle w:val="Default"/>
        <w:ind w:left="709" w:right="-43" w:hanging="709"/>
        <w:jc w:val="both"/>
      </w:pPr>
      <w:r>
        <w:t>3.</w:t>
      </w:r>
      <w:r w:rsidR="00EA2C66">
        <w:t>4</w:t>
      </w:r>
      <w:r>
        <w:t xml:space="preserve"> </w:t>
      </w:r>
      <w:r w:rsidR="00337F7C">
        <w:tab/>
      </w:r>
      <w:r>
        <w:t xml:space="preserve">In other cases where a staff member feels they have suffered less </w:t>
      </w:r>
      <w:proofErr w:type="spellStart"/>
      <w:r>
        <w:t>favourable</w:t>
      </w:r>
      <w:proofErr w:type="spellEnd"/>
      <w:r>
        <w:t xml:space="preserve"> treatment on grounds of </w:t>
      </w:r>
      <w:r w:rsidR="00B84574">
        <w:t>age, disability, gender reassignment, race, religion or belief, sex, sexual orientation, marriage and civil partnership, pregnancy and maternity.  T</w:t>
      </w:r>
      <w:r>
        <w:t>his will be dealt with through the Grievance Policy.</w:t>
      </w:r>
    </w:p>
    <w:p w14:paraId="4094EA85" w14:textId="77777777" w:rsidR="00EA2C66" w:rsidRDefault="00EA2C66" w:rsidP="009025A6">
      <w:pPr>
        <w:pStyle w:val="Default"/>
        <w:ind w:left="709" w:hanging="709"/>
        <w:jc w:val="both"/>
      </w:pPr>
    </w:p>
    <w:p w14:paraId="2BF5B76D" w14:textId="77777777" w:rsidR="004466FA" w:rsidRDefault="0042262E" w:rsidP="00EA2C66">
      <w:pPr>
        <w:pStyle w:val="Default"/>
        <w:ind w:left="709" w:right="-43" w:hanging="709"/>
        <w:jc w:val="both"/>
      </w:pPr>
      <w:r>
        <w:rPr>
          <w:b/>
          <w:bCs/>
        </w:rPr>
        <w:lastRenderedPageBreak/>
        <w:t>4.0</w:t>
      </w:r>
      <w:r w:rsidR="00337F7C">
        <w:rPr>
          <w:b/>
          <w:bCs/>
        </w:rPr>
        <w:tab/>
      </w:r>
      <w:r w:rsidR="00B84574">
        <w:rPr>
          <w:b/>
          <w:bCs/>
        </w:rPr>
        <w:t>General</w:t>
      </w:r>
      <w:r w:rsidR="004200E5">
        <w:rPr>
          <w:b/>
          <w:bCs/>
        </w:rPr>
        <w:t xml:space="preserve"> principles </w:t>
      </w:r>
    </w:p>
    <w:p w14:paraId="0C8A928A" w14:textId="77777777" w:rsidR="004466FA" w:rsidRDefault="004200E5" w:rsidP="00EA2C66">
      <w:pPr>
        <w:pStyle w:val="Default"/>
        <w:ind w:left="840" w:right="-43" w:hanging="840"/>
        <w:jc w:val="both"/>
      </w:pPr>
      <w:r>
        <w:t xml:space="preserve"> </w:t>
      </w:r>
    </w:p>
    <w:p w14:paraId="3B24659D" w14:textId="77777777" w:rsidR="004466FA" w:rsidRDefault="00912C89" w:rsidP="00EA2C66">
      <w:pPr>
        <w:pStyle w:val="Default"/>
        <w:ind w:left="709" w:right="-43" w:hanging="709"/>
        <w:jc w:val="both"/>
      </w:pPr>
      <w:r>
        <w:t>4.1</w:t>
      </w:r>
      <w:r>
        <w:tab/>
      </w:r>
      <w:r w:rsidR="004200E5">
        <w:t xml:space="preserve">We are committed to achieving and promoting equality </w:t>
      </w:r>
      <w:r>
        <w:t xml:space="preserve">of opportunity </w:t>
      </w:r>
      <w:r w:rsidR="004200E5">
        <w:t xml:space="preserve">and diversity in: </w:t>
      </w:r>
    </w:p>
    <w:p w14:paraId="7E5B1BB0" w14:textId="77777777" w:rsidR="004466FA" w:rsidRDefault="004200E5" w:rsidP="00EA2C66">
      <w:pPr>
        <w:pStyle w:val="Default"/>
        <w:ind w:left="840" w:right="-43" w:hanging="840"/>
        <w:jc w:val="both"/>
      </w:pPr>
      <w:r>
        <w:t xml:space="preserve"> </w:t>
      </w:r>
    </w:p>
    <w:p w14:paraId="08421F1C" w14:textId="77777777" w:rsidR="00E35C30" w:rsidRDefault="004200E5" w:rsidP="00EA2C66">
      <w:pPr>
        <w:pStyle w:val="Default"/>
        <w:tabs>
          <w:tab w:val="left" w:pos="1134"/>
        </w:tabs>
        <w:ind w:left="709" w:right="-43"/>
        <w:jc w:val="both"/>
      </w:pPr>
      <w:r w:rsidRPr="00B84574">
        <w:rPr>
          <w:rFonts w:ascii="Wingdings" w:hAnsi="Wingdings" w:cs="Wingdings"/>
        </w:rPr>
        <w:t></w:t>
      </w:r>
      <w:r>
        <w:t xml:space="preserve"> </w:t>
      </w:r>
      <w:r w:rsidR="00912C89">
        <w:tab/>
      </w:r>
      <w:r>
        <w:t>terms and conditi</w:t>
      </w:r>
      <w:r w:rsidR="00E35C30">
        <w:t>ons including pay and benefits;</w:t>
      </w:r>
    </w:p>
    <w:p w14:paraId="6BB02580" w14:textId="77777777" w:rsidR="00E35C30" w:rsidRDefault="004200E5" w:rsidP="00EA2C66">
      <w:pPr>
        <w:pStyle w:val="Default"/>
        <w:numPr>
          <w:ilvl w:val="0"/>
          <w:numId w:val="15"/>
        </w:numPr>
        <w:ind w:left="1134" w:right="-43" w:hanging="425"/>
        <w:jc w:val="both"/>
      </w:pPr>
      <w:r>
        <w:t>access to all services offered by the Authority;</w:t>
      </w:r>
    </w:p>
    <w:p w14:paraId="5F9B7F68" w14:textId="77777777" w:rsidR="00E35C30" w:rsidRDefault="004200E5" w:rsidP="00EA2C66">
      <w:pPr>
        <w:pStyle w:val="Default"/>
        <w:numPr>
          <w:ilvl w:val="0"/>
          <w:numId w:val="15"/>
        </w:numPr>
        <w:ind w:left="1134" w:right="-43" w:hanging="425"/>
        <w:jc w:val="both"/>
      </w:pPr>
      <w:r>
        <w:t>recruitment and selection procedures and ensuring equality of opportunity for all job applicants and prospective applicants;</w:t>
      </w:r>
    </w:p>
    <w:p w14:paraId="6B73A5CD" w14:textId="77777777" w:rsidR="00E35C30" w:rsidRDefault="004200E5" w:rsidP="00EA2C66">
      <w:pPr>
        <w:pStyle w:val="Default"/>
        <w:numPr>
          <w:ilvl w:val="0"/>
          <w:numId w:val="15"/>
        </w:numPr>
        <w:ind w:left="1134" w:right="-43" w:hanging="425"/>
        <w:jc w:val="both"/>
      </w:pPr>
      <w:r>
        <w:t>the provision of training and development opportunitie</w:t>
      </w:r>
      <w:r w:rsidR="00912C89">
        <w:t xml:space="preserve">s on an equitable basis </w:t>
      </w:r>
      <w:r>
        <w:t>all staff members are promoted and treated fairly on the basis of their relevant merits and abilities;</w:t>
      </w:r>
    </w:p>
    <w:p w14:paraId="4EAC8E53" w14:textId="77777777" w:rsidR="00E35C30" w:rsidRDefault="004200E5" w:rsidP="00EA2C66">
      <w:pPr>
        <w:pStyle w:val="Default"/>
        <w:numPr>
          <w:ilvl w:val="0"/>
          <w:numId w:val="15"/>
        </w:numPr>
        <w:ind w:left="1134" w:right="-43" w:hanging="425"/>
        <w:jc w:val="both"/>
      </w:pPr>
      <w:r>
        <w:t>the opportunities to become Authority members or other stakeholders.</w:t>
      </w:r>
    </w:p>
    <w:p w14:paraId="4CDCF2DF" w14:textId="77777777" w:rsidR="004466FA" w:rsidRDefault="00B84574" w:rsidP="00EA2C66">
      <w:pPr>
        <w:pStyle w:val="Default"/>
        <w:numPr>
          <w:ilvl w:val="0"/>
          <w:numId w:val="15"/>
        </w:numPr>
        <w:ind w:left="1134" w:right="-43" w:hanging="425"/>
        <w:jc w:val="both"/>
      </w:pPr>
      <w:r>
        <w:t>Induction – to ensure it is understood and effective</w:t>
      </w:r>
      <w:r w:rsidR="004200E5">
        <w:t xml:space="preserve"> </w:t>
      </w:r>
    </w:p>
    <w:p w14:paraId="535E445B" w14:textId="77777777" w:rsidR="004466FA" w:rsidRDefault="004200E5" w:rsidP="00EA2C66">
      <w:pPr>
        <w:pStyle w:val="Default"/>
        <w:ind w:left="840" w:right="-43" w:hanging="840"/>
        <w:jc w:val="both"/>
      </w:pPr>
      <w:r>
        <w:t xml:space="preserve"> </w:t>
      </w:r>
    </w:p>
    <w:p w14:paraId="62712DC0" w14:textId="77777777" w:rsidR="004466FA" w:rsidRDefault="004200E5" w:rsidP="00EA2C66">
      <w:pPr>
        <w:pStyle w:val="Default"/>
        <w:ind w:left="709" w:right="-43" w:hanging="709"/>
        <w:jc w:val="both"/>
      </w:pPr>
      <w:r>
        <w:t xml:space="preserve">4.2 </w:t>
      </w:r>
      <w:r w:rsidR="00337F7C">
        <w:tab/>
      </w:r>
      <w:r w:rsidR="00FF334C">
        <w:t>This policy also supports two</w:t>
      </w:r>
      <w:r>
        <w:t xml:space="preserve"> of our values: </w:t>
      </w:r>
    </w:p>
    <w:p w14:paraId="2AF4FEA9" w14:textId="77777777" w:rsidR="004466FA" w:rsidRDefault="004200E5" w:rsidP="009025A6">
      <w:pPr>
        <w:pStyle w:val="Default"/>
        <w:ind w:left="840" w:hanging="840"/>
        <w:jc w:val="both"/>
      </w:pPr>
      <w:r>
        <w:t xml:space="preserve"> </w:t>
      </w:r>
    </w:p>
    <w:tbl>
      <w:tblPr>
        <w:tblW w:w="9356" w:type="dxa"/>
        <w:tblInd w:w="108"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1710"/>
        <w:gridCol w:w="7646"/>
      </w:tblGrid>
      <w:tr w:rsidR="004466FA" w:rsidRPr="00B17BA6" w14:paraId="12C66EFA" w14:textId="77777777" w:rsidTr="00FF334C">
        <w:trPr>
          <w:trHeight w:val="1418"/>
        </w:trPr>
        <w:tc>
          <w:tcPr>
            <w:tcW w:w="1710" w:type="dxa"/>
            <w:tcBorders>
              <w:top w:val="single" w:sz="8" w:space="0" w:color="000000"/>
              <w:bottom w:val="single" w:sz="8" w:space="0" w:color="000000"/>
              <w:right w:val="single" w:sz="8" w:space="0" w:color="000000"/>
            </w:tcBorders>
            <w:vAlign w:val="center"/>
          </w:tcPr>
          <w:p w14:paraId="13DA600E" w14:textId="77777777" w:rsidR="004466FA" w:rsidRPr="00B17BA6" w:rsidRDefault="00FF334C" w:rsidP="009025A6">
            <w:pPr>
              <w:pStyle w:val="Default"/>
              <w:rPr>
                <w:rFonts w:eastAsiaTheme="minorEastAsia"/>
              </w:rPr>
            </w:pPr>
            <w:proofErr w:type="spellStart"/>
            <w:r>
              <w:rPr>
                <w:rFonts w:eastAsiaTheme="minorEastAsia"/>
                <w:b/>
                <w:bCs/>
              </w:rPr>
              <w:t>Acheivement</w:t>
            </w:r>
            <w:proofErr w:type="spellEnd"/>
          </w:p>
        </w:tc>
        <w:tc>
          <w:tcPr>
            <w:tcW w:w="7646" w:type="dxa"/>
            <w:tcBorders>
              <w:top w:val="single" w:sz="8" w:space="0" w:color="000000"/>
              <w:left w:val="single" w:sz="8" w:space="0" w:color="000000"/>
              <w:bottom w:val="single" w:sz="8" w:space="0" w:color="000000"/>
            </w:tcBorders>
            <w:vAlign w:val="center"/>
          </w:tcPr>
          <w:p w14:paraId="3BA3B794" w14:textId="77777777" w:rsidR="004466FA" w:rsidRPr="00B17BA6" w:rsidRDefault="004200E5" w:rsidP="00FF334C">
            <w:pPr>
              <w:pStyle w:val="Default"/>
              <w:rPr>
                <w:rFonts w:eastAsiaTheme="minorEastAsia"/>
              </w:rPr>
            </w:pPr>
            <w:r w:rsidRPr="00B17BA6">
              <w:rPr>
                <w:rFonts w:eastAsiaTheme="minorEastAsia"/>
              </w:rPr>
              <w:t xml:space="preserve">We </w:t>
            </w:r>
            <w:r w:rsidR="00FF334C">
              <w:rPr>
                <w:rFonts w:eastAsiaTheme="minorEastAsia"/>
              </w:rPr>
              <w:t>encourage, innovate and inspire to achieve success.</w:t>
            </w:r>
          </w:p>
        </w:tc>
      </w:tr>
      <w:tr w:rsidR="004466FA" w:rsidRPr="00B17BA6" w14:paraId="53BDCB80" w14:textId="77777777" w:rsidTr="00FF334C">
        <w:trPr>
          <w:trHeight w:val="1418"/>
        </w:trPr>
        <w:tc>
          <w:tcPr>
            <w:tcW w:w="1710" w:type="dxa"/>
            <w:tcBorders>
              <w:top w:val="single" w:sz="8" w:space="0" w:color="000000"/>
              <w:bottom w:val="single" w:sz="8" w:space="0" w:color="000000"/>
              <w:right w:val="single" w:sz="8" w:space="0" w:color="000000"/>
            </w:tcBorders>
            <w:vAlign w:val="center"/>
          </w:tcPr>
          <w:p w14:paraId="619C27DD" w14:textId="77777777" w:rsidR="004466FA" w:rsidRPr="00B17BA6" w:rsidRDefault="00FF334C" w:rsidP="009025A6">
            <w:pPr>
              <w:pStyle w:val="Default"/>
              <w:ind w:left="840" w:hanging="840"/>
              <w:rPr>
                <w:rFonts w:eastAsiaTheme="minorEastAsia"/>
              </w:rPr>
            </w:pPr>
            <w:r>
              <w:rPr>
                <w:rFonts w:eastAsiaTheme="minorEastAsia"/>
                <w:b/>
                <w:bCs/>
              </w:rPr>
              <w:t>Teamwork</w:t>
            </w:r>
          </w:p>
        </w:tc>
        <w:tc>
          <w:tcPr>
            <w:tcW w:w="7646" w:type="dxa"/>
            <w:tcBorders>
              <w:top w:val="single" w:sz="8" w:space="0" w:color="000000"/>
              <w:left w:val="single" w:sz="8" w:space="0" w:color="000000"/>
              <w:bottom w:val="single" w:sz="8" w:space="0" w:color="000000"/>
            </w:tcBorders>
            <w:vAlign w:val="center"/>
          </w:tcPr>
          <w:p w14:paraId="3EB22838" w14:textId="77777777" w:rsidR="004466FA" w:rsidRPr="00B17BA6" w:rsidRDefault="004200E5" w:rsidP="00FF334C">
            <w:pPr>
              <w:pStyle w:val="Default"/>
              <w:rPr>
                <w:rFonts w:eastAsiaTheme="minorEastAsia"/>
              </w:rPr>
            </w:pPr>
            <w:r w:rsidRPr="00B17BA6">
              <w:rPr>
                <w:rFonts w:eastAsiaTheme="minorEastAsia"/>
              </w:rPr>
              <w:t xml:space="preserve">We </w:t>
            </w:r>
            <w:r w:rsidR="00FF334C">
              <w:rPr>
                <w:rFonts w:eastAsiaTheme="minorEastAsia"/>
              </w:rPr>
              <w:t>work together with openness, integrity and respect.</w:t>
            </w:r>
          </w:p>
        </w:tc>
      </w:tr>
    </w:tbl>
    <w:p w14:paraId="3334E191" w14:textId="77777777" w:rsidR="004466FA" w:rsidRDefault="004466FA" w:rsidP="009025A6">
      <w:pPr>
        <w:pStyle w:val="Default"/>
        <w:jc w:val="both"/>
        <w:rPr>
          <w:color w:val="auto"/>
        </w:rPr>
      </w:pPr>
    </w:p>
    <w:p w14:paraId="0EBE3904" w14:textId="77777777" w:rsidR="00FF334C" w:rsidRDefault="00FF334C" w:rsidP="009025A6">
      <w:pPr>
        <w:pStyle w:val="Default"/>
        <w:jc w:val="both"/>
        <w:rPr>
          <w:color w:val="auto"/>
        </w:rPr>
      </w:pPr>
    </w:p>
    <w:p w14:paraId="329E10EA" w14:textId="77777777" w:rsidR="004466FA" w:rsidRDefault="00BC44FD" w:rsidP="009025A6">
      <w:pPr>
        <w:pStyle w:val="Default"/>
        <w:numPr>
          <w:ilvl w:val="0"/>
          <w:numId w:val="14"/>
        </w:numPr>
        <w:ind w:left="709" w:right="-43" w:hanging="709"/>
        <w:jc w:val="both"/>
        <w:rPr>
          <w:b/>
          <w:color w:val="auto"/>
        </w:rPr>
      </w:pPr>
      <w:r>
        <w:rPr>
          <w:b/>
          <w:color w:val="auto"/>
        </w:rPr>
        <w:t>Types of Discrimination</w:t>
      </w:r>
      <w:r w:rsidR="00283589">
        <w:rPr>
          <w:b/>
          <w:color w:val="auto"/>
        </w:rPr>
        <w:t xml:space="preserve"> </w:t>
      </w:r>
      <w:r w:rsidR="00912C89">
        <w:rPr>
          <w:b/>
          <w:color w:val="auto"/>
        </w:rPr>
        <w:t>–</w:t>
      </w:r>
      <w:r w:rsidR="00283589">
        <w:rPr>
          <w:b/>
          <w:color w:val="auto"/>
        </w:rPr>
        <w:t xml:space="preserve"> Definitions</w:t>
      </w:r>
      <w:r w:rsidR="00912C89">
        <w:rPr>
          <w:b/>
          <w:color w:val="auto"/>
        </w:rPr>
        <w:t xml:space="preserve"> (as updated by the Equality Act 2010)</w:t>
      </w:r>
    </w:p>
    <w:p w14:paraId="74FBBF44" w14:textId="77777777" w:rsidR="00BC44FD" w:rsidRPr="00BC44FD" w:rsidRDefault="00BC44FD" w:rsidP="009025A6">
      <w:pPr>
        <w:pStyle w:val="Default"/>
        <w:ind w:left="360" w:right="-43"/>
        <w:jc w:val="both"/>
        <w:rPr>
          <w:b/>
          <w:color w:val="auto"/>
        </w:rPr>
      </w:pPr>
    </w:p>
    <w:p w14:paraId="78E580DF" w14:textId="77777777" w:rsidR="00283589" w:rsidRPr="00283589" w:rsidRDefault="0042262E" w:rsidP="009025A6">
      <w:pPr>
        <w:pStyle w:val="Default"/>
        <w:ind w:right="-43"/>
        <w:jc w:val="both"/>
        <w:rPr>
          <w:b/>
          <w:color w:val="auto"/>
        </w:rPr>
      </w:pPr>
      <w:r w:rsidRPr="00E35C30">
        <w:rPr>
          <w:color w:val="auto"/>
        </w:rPr>
        <w:t>5.1</w:t>
      </w:r>
      <w:r>
        <w:rPr>
          <w:b/>
          <w:color w:val="auto"/>
        </w:rPr>
        <w:tab/>
      </w:r>
      <w:r w:rsidR="00283589" w:rsidRPr="00283589">
        <w:rPr>
          <w:b/>
          <w:color w:val="auto"/>
        </w:rPr>
        <w:t>Direct</w:t>
      </w:r>
      <w:r w:rsidR="00283589" w:rsidRPr="00283589">
        <w:rPr>
          <w:b/>
          <w:color w:val="auto"/>
        </w:rPr>
        <w:tab/>
        <w:t>discrimination</w:t>
      </w:r>
      <w:r w:rsidR="00283589" w:rsidRPr="00283589">
        <w:rPr>
          <w:b/>
          <w:color w:val="auto"/>
        </w:rPr>
        <w:tab/>
      </w:r>
    </w:p>
    <w:p w14:paraId="178DDDE1" w14:textId="77777777" w:rsidR="00283589" w:rsidRDefault="00283589" w:rsidP="009025A6">
      <w:pPr>
        <w:pStyle w:val="CM18"/>
        <w:spacing w:after="0" w:line="240" w:lineRule="atLeast"/>
        <w:ind w:left="720" w:right="-43"/>
        <w:jc w:val="both"/>
        <w:rPr>
          <w:rFonts w:ascii="Arial" w:hAnsi="Arial" w:cs="Arial"/>
          <w:color w:val="211D1E"/>
        </w:rPr>
      </w:pPr>
      <w:r w:rsidRPr="00283589">
        <w:rPr>
          <w:rFonts w:ascii="Arial" w:hAnsi="Arial" w:cs="Arial"/>
          <w:color w:val="211D1E"/>
        </w:rPr>
        <w:t xml:space="preserve">Direct discrimination occurs when someone is treated less </w:t>
      </w:r>
      <w:proofErr w:type="spellStart"/>
      <w:r w:rsidRPr="00283589">
        <w:rPr>
          <w:rFonts w:ascii="Arial" w:hAnsi="Arial" w:cs="Arial"/>
          <w:color w:val="211D1E"/>
        </w:rPr>
        <w:t>favourably</w:t>
      </w:r>
      <w:proofErr w:type="spellEnd"/>
      <w:r w:rsidRPr="00283589">
        <w:rPr>
          <w:rFonts w:ascii="Arial" w:hAnsi="Arial" w:cs="Arial"/>
          <w:color w:val="211D1E"/>
        </w:rPr>
        <w:t xml:space="preserve"> than another person because of a protected characteristic they have or are thought to have (see perception discrimination below), or because they associate with someone who has a protected characteristic (see discrimination by association </w:t>
      </w:r>
      <w:r w:rsidR="005B7AD7">
        <w:rPr>
          <w:rFonts w:ascii="Arial" w:hAnsi="Arial" w:cs="Arial"/>
          <w:color w:val="211D1E"/>
        </w:rPr>
        <w:t xml:space="preserve">below). </w:t>
      </w:r>
    </w:p>
    <w:p w14:paraId="3885C5BF" w14:textId="77777777" w:rsidR="009025A6" w:rsidRPr="009025A6" w:rsidRDefault="009025A6" w:rsidP="009025A6">
      <w:pPr>
        <w:pStyle w:val="Default"/>
        <w:ind w:right="-43"/>
      </w:pPr>
    </w:p>
    <w:p w14:paraId="7F001563" w14:textId="77777777" w:rsidR="00283589" w:rsidRPr="00283589" w:rsidRDefault="0042262E" w:rsidP="009025A6">
      <w:pPr>
        <w:pStyle w:val="Default"/>
        <w:ind w:right="-43"/>
        <w:jc w:val="both"/>
        <w:rPr>
          <w:b/>
          <w:color w:val="auto"/>
        </w:rPr>
      </w:pPr>
      <w:r w:rsidRPr="00E35C30">
        <w:rPr>
          <w:color w:val="auto"/>
        </w:rPr>
        <w:t>5.2</w:t>
      </w:r>
      <w:r>
        <w:rPr>
          <w:b/>
          <w:color w:val="auto"/>
        </w:rPr>
        <w:tab/>
      </w:r>
      <w:r w:rsidR="00283589">
        <w:rPr>
          <w:b/>
          <w:color w:val="auto"/>
        </w:rPr>
        <w:t xml:space="preserve">Discrimination by </w:t>
      </w:r>
      <w:r w:rsidR="00283589" w:rsidRPr="00283589">
        <w:rPr>
          <w:b/>
          <w:color w:val="auto"/>
        </w:rPr>
        <w:t>association</w:t>
      </w:r>
      <w:r w:rsidR="00283589" w:rsidRPr="00283589">
        <w:rPr>
          <w:b/>
          <w:color w:val="auto"/>
        </w:rPr>
        <w:tab/>
      </w:r>
    </w:p>
    <w:p w14:paraId="41417179" w14:textId="77777777" w:rsidR="00283589" w:rsidRDefault="00283589" w:rsidP="00EA2C66">
      <w:pPr>
        <w:pStyle w:val="CM18"/>
        <w:spacing w:after="0" w:line="240" w:lineRule="atLeast"/>
        <w:ind w:left="720" w:right="-43"/>
        <w:jc w:val="both"/>
        <w:rPr>
          <w:rFonts w:ascii="Arial" w:hAnsi="Arial" w:cs="Arial"/>
          <w:color w:val="211D1E"/>
        </w:rPr>
      </w:pPr>
      <w:r w:rsidRPr="00283589">
        <w:rPr>
          <w:rFonts w:ascii="Arial" w:hAnsi="Arial" w:cs="Arial"/>
          <w:color w:val="211D1E"/>
        </w:rPr>
        <w:t xml:space="preserve">Already applies to race, religion or belief and sexual orientation. </w:t>
      </w:r>
      <w:r w:rsidR="009025A6">
        <w:rPr>
          <w:rFonts w:ascii="Arial" w:hAnsi="Arial" w:cs="Arial"/>
          <w:color w:val="211D1E"/>
        </w:rPr>
        <w:t xml:space="preserve"> </w:t>
      </w:r>
      <w:r w:rsidRPr="00283589">
        <w:rPr>
          <w:rFonts w:ascii="Arial" w:hAnsi="Arial" w:cs="Arial"/>
          <w:color w:val="211D1E"/>
        </w:rPr>
        <w:t>Now extended to cover age, disability, gender reassignment and sex.</w:t>
      </w:r>
      <w:r w:rsidR="009025A6">
        <w:rPr>
          <w:rFonts w:ascii="Arial" w:hAnsi="Arial" w:cs="Arial"/>
          <w:color w:val="211D1E"/>
        </w:rPr>
        <w:t xml:space="preserve"> </w:t>
      </w:r>
      <w:r w:rsidRPr="00283589">
        <w:rPr>
          <w:rFonts w:ascii="Arial" w:hAnsi="Arial" w:cs="Arial"/>
          <w:color w:val="211D1E"/>
        </w:rPr>
        <w:t>This is direct discrimination against someone because they associate with another person who possesses a protected characteristi</w:t>
      </w:r>
      <w:r w:rsidR="005B7AD7">
        <w:rPr>
          <w:rFonts w:ascii="Arial" w:hAnsi="Arial" w:cs="Arial"/>
          <w:color w:val="211D1E"/>
        </w:rPr>
        <w:t>c.</w:t>
      </w:r>
    </w:p>
    <w:p w14:paraId="06AB0833" w14:textId="77777777" w:rsidR="004C68F5" w:rsidRPr="004C68F5" w:rsidRDefault="004C68F5" w:rsidP="004C68F5">
      <w:pPr>
        <w:pStyle w:val="Default"/>
      </w:pPr>
    </w:p>
    <w:p w14:paraId="6A664CD0" w14:textId="77777777" w:rsidR="00283589" w:rsidRPr="00283589" w:rsidRDefault="0042262E" w:rsidP="00EA2C66">
      <w:pPr>
        <w:pStyle w:val="Default"/>
        <w:ind w:right="-43"/>
        <w:jc w:val="both"/>
        <w:rPr>
          <w:b/>
          <w:color w:val="auto"/>
        </w:rPr>
      </w:pPr>
      <w:r w:rsidRPr="00E35C30">
        <w:rPr>
          <w:color w:val="auto"/>
        </w:rPr>
        <w:lastRenderedPageBreak/>
        <w:t>5.3</w:t>
      </w:r>
      <w:r>
        <w:rPr>
          <w:b/>
          <w:color w:val="auto"/>
        </w:rPr>
        <w:tab/>
      </w:r>
      <w:r w:rsidR="00283589" w:rsidRPr="00283589">
        <w:rPr>
          <w:b/>
          <w:color w:val="auto"/>
        </w:rPr>
        <w:t>Perception discrimination</w:t>
      </w:r>
      <w:r w:rsidR="00283589" w:rsidRPr="00283589">
        <w:rPr>
          <w:b/>
          <w:color w:val="auto"/>
        </w:rPr>
        <w:tab/>
      </w:r>
    </w:p>
    <w:p w14:paraId="719DC1EB" w14:textId="77777777" w:rsidR="00283589" w:rsidRDefault="00283589" w:rsidP="00EA2C66">
      <w:pPr>
        <w:pStyle w:val="CM18"/>
        <w:spacing w:after="0" w:line="240" w:lineRule="atLeast"/>
        <w:ind w:left="720" w:right="-43"/>
        <w:jc w:val="both"/>
        <w:rPr>
          <w:rFonts w:ascii="Arial" w:hAnsi="Arial" w:cs="Arial"/>
          <w:color w:val="211D1E"/>
        </w:rPr>
      </w:pPr>
      <w:r w:rsidRPr="00283589">
        <w:rPr>
          <w:rFonts w:ascii="Arial" w:hAnsi="Arial" w:cs="Arial"/>
          <w:color w:val="211D1E"/>
        </w:rPr>
        <w:t xml:space="preserve">Already applies to age, race, religion or belief and sexual orientation. </w:t>
      </w:r>
      <w:r w:rsidR="00EA2C66">
        <w:rPr>
          <w:rFonts w:ascii="Arial" w:hAnsi="Arial" w:cs="Arial"/>
          <w:color w:val="211D1E"/>
        </w:rPr>
        <w:t xml:space="preserve"> </w:t>
      </w:r>
      <w:r w:rsidRPr="00283589">
        <w:rPr>
          <w:rFonts w:ascii="Arial" w:hAnsi="Arial" w:cs="Arial"/>
          <w:color w:val="211D1E"/>
        </w:rPr>
        <w:t xml:space="preserve">Now extended to cover disability, gender reassignment and sex. </w:t>
      </w:r>
      <w:r w:rsidR="00EA2C66">
        <w:rPr>
          <w:rFonts w:ascii="Arial" w:hAnsi="Arial" w:cs="Arial"/>
          <w:color w:val="211D1E"/>
        </w:rPr>
        <w:t xml:space="preserve"> </w:t>
      </w:r>
      <w:r w:rsidRPr="00283589">
        <w:rPr>
          <w:rFonts w:ascii="Arial" w:hAnsi="Arial" w:cs="Arial"/>
          <w:color w:val="211D1E"/>
        </w:rPr>
        <w:t xml:space="preserve">This is direct discrimination against an individual because others think they possess a particular protected characteristic. </w:t>
      </w:r>
      <w:r w:rsidR="00EA2C66">
        <w:rPr>
          <w:rFonts w:ascii="Arial" w:hAnsi="Arial" w:cs="Arial"/>
          <w:color w:val="211D1E"/>
        </w:rPr>
        <w:t xml:space="preserve"> </w:t>
      </w:r>
      <w:r w:rsidRPr="00283589">
        <w:rPr>
          <w:rFonts w:ascii="Arial" w:hAnsi="Arial" w:cs="Arial"/>
          <w:color w:val="211D1E"/>
        </w:rPr>
        <w:t>It applies even if the person does not actually possess that character</w:t>
      </w:r>
      <w:r w:rsidR="009025A6">
        <w:rPr>
          <w:rFonts w:ascii="Arial" w:hAnsi="Arial" w:cs="Arial"/>
          <w:color w:val="211D1E"/>
        </w:rPr>
        <w:t>istic.</w:t>
      </w:r>
    </w:p>
    <w:p w14:paraId="4C2545F6" w14:textId="77777777" w:rsidR="009025A6" w:rsidRPr="009025A6" w:rsidRDefault="009025A6" w:rsidP="009025A6">
      <w:pPr>
        <w:pStyle w:val="Default"/>
      </w:pPr>
    </w:p>
    <w:p w14:paraId="4CF9D64B" w14:textId="77777777" w:rsidR="00283589" w:rsidRPr="00283589" w:rsidRDefault="0042262E" w:rsidP="00EA2C66">
      <w:pPr>
        <w:pStyle w:val="Default"/>
        <w:ind w:right="-43"/>
        <w:jc w:val="both"/>
        <w:rPr>
          <w:b/>
          <w:color w:val="auto"/>
        </w:rPr>
      </w:pPr>
      <w:r w:rsidRPr="00E35C30">
        <w:rPr>
          <w:color w:val="auto"/>
        </w:rPr>
        <w:t>5.4</w:t>
      </w:r>
      <w:r>
        <w:rPr>
          <w:b/>
          <w:color w:val="auto"/>
        </w:rPr>
        <w:tab/>
      </w:r>
      <w:r w:rsidR="00283589">
        <w:rPr>
          <w:b/>
          <w:color w:val="auto"/>
        </w:rPr>
        <w:t xml:space="preserve">Indirect </w:t>
      </w:r>
      <w:r w:rsidR="00283589" w:rsidRPr="00283589">
        <w:rPr>
          <w:b/>
          <w:color w:val="auto"/>
        </w:rPr>
        <w:t>discrimination</w:t>
      </w:r>
      <w:r w:rsidR="00283589" w:rsidRPr="00283589">
        <w:rPr>
          <w:b/>
          <w:color w:val="auto"/>
        </w:rPr>
        <w:tab/>
      </w:r>
    </w:p>
    <w:p w14:paraId="279ED29D" w14:textId="77777777" w:rsidR="00EA2C66" w:rsidRDefault="00283589" w:rsidP="00EA2C66">
      <w:pPr>
        <w:pStyle w:val="CM18"/>
        <w:spacing w:after="0" w:line="240" w:lineRule="atLeast"/>
        <w:ind w:left="720" w:right="-43"/>
        <w:jc w:val="both"/>
        <w:rPr>
          <w:rFonts w:ascii="Arial" w:hAnsi="Arial" w:cs="Arial"/>
          <w:color w:val="211D1E"/>
        </w:rPr>
      </w:pPr>
      <w:r w:rsidRPr="00283589">
        <w:rPr>
          <w:rFonts w:ascii="Arial" w:hAnsi="Arial" w:cs="Arial"/>
          <w:color w:val="211D1E"/>
        </w:rPr>
        <w:t xml:space="preserve">Already applies to age, race, religion or belief, sex, sexual orientation and marriage and civil partnership. </w:t>
      </w:r>
      <w:r w:rsidR="00EA2C66">
        <w:rPr>
          <w:rFonts w:ascii="Arial" w:hAnsi="Arial" w:cs="Arial"/>
          <w:color w:val="211D1E"/>
        </w:rPr>
        <w:t xml:space="preserve"> </w:t>
      </w:r>
      <w:r w:rsidRPr="00283589">
        <w:rPr>
          <w:rFonts w:ascii="Arial" w:hAnsi="Arial" w:cs="Arial"/>
          <w:color w:val="211D1E"/>
        </w:rPr>
        <w:t>Now extended to cover disability and gender reassignment.</w:t>
      </w:r>
    </w:p>
    <w:p w14:paraId="1302A2EF" w14:textId="77777777" w:rsidR="00283589" w:rsidRPr="00283589" w:rsidRDefault="00283589" w:rsidP="00EA2C66">
      <w:pPr>
        <w:pStyle w:val="CM18"/>
        <w:spacing w:after="0" w:line="240" w:lineRule="atLeast"/>
        <w:ind w:left="720" w:right="-43"/>
        <w:jc w:val="both"/>
        <w:rPr>
          <w:rFonts w:ascii="Arial" w:hAnsi="Arial" w:cs="Arial"/>
          <w:color w:val="211D1E"/>
        </w:rPr>
      </w:pPr>
      <w:r w:rsidRPr="00283589">
        <w:rPr>
          <w:rFonts w:ascii="Arial" w:hAnsi="Arial" w:cs="Arial"/>
          <w:color w:val="211D1E"/>
        </w:rPr>
        <w:t xml:space="preserve"> </w:t>
      </w:r>
    </w:p>
    <w:p w14:paraId="673172C1" w14:textId="77777777" w:rsidR="00283589" w:rsidRDefault="00283589" w:rsidP="00EA2C66">
      <w:pPr>
        <w:pStyle w:val="CM18"/>
        <w:spacing w:after="0" w:line="240" w:lineRule="atLeast"/>
        <w:ind w:left="720" w:right="-43"/>
        <w:jc w:val="both"/>
        <w:rPr>
          <w:rFonts w:ascii="Arial" w:hAnsi="Arial" w:cs="Arial"/>
          <w:color w:val="211D1E"/>
        </w:rPr>
      </w:pPr>
      <w:r w:rsidRPr="00283589">
        <w:rPr>
          <w:rFonts w:ascii="Arial" w:hAnsi="Arial" w:cs="Arial"/>
          <w:color w:val="211D1E"/>
        </w:rPr>
        <w:t xml:space="preserve">Indirect discrimination can occur when you have a condition, rule, policy or even a practice in your company that applies to everyone but particularly disadvantages people who share a protected characteristic. </w:t>
      </w:r>
      <w:r w:rsidR="00EA2C66">
        <w:rPr>
          <w:rFonts w:ascii="Arial" w:hAnsi="Arial" w:cs="Arial"/>
          <w:color w:val="211D1E"/>
        </w:rPr>
        <w:t xml:space="preserve"> </w:t>
      </w:r>
      <w:r w:rsidRPr="00283589">
        <w:rPr>
          <w:rFonts w:ascii="Arial" w:hAnsi="Arial" w:cs="Arial"/>
          <w:color w:val="211D1E"/>
        </w:rPr>
        <w:t>Indirect discrimination can be justified if you can show that you acted reasonably in managing your business, i</w:t>
      </w:r>
      <w:r w:rsidR="00EA2C66">
        <w:rPr>
          <w:rFonts w:ascii="Arial" w:hAnsi="Arial" w:cs="Arial"/>
          <w:color w:val="211D1E"/>
        </w:rPr>
        <w:t>.</w:t>
      </w:r>
      <w:r w:rsidRPr="00283589">
        <w:rPr>
          <w:rFonts w:ascii="Arial" w:hAnsi="Arial" w:cs="Arial"/>
          <w:color w:val="211D1E"/>
        </w:rPr>
        <w:t>e</w:t>
      </w:r>
      <w:r w:rsidR="00EA2C66">
        <w:rPr>
          <w:rFonts w:ascii="Arial" w:hAnsi="Arial" w:cs="Arial"/>
          <w:color w:val="211D1E"/>
        </w:rPr>
        <w:t>.</w:t>
      </w:r>
      <w:r w:rsidRPr="00283589">
        <w:rPr>
          <w:rFonts w:ascii="Arial" w:hAnsi="Arial" w:cs="Arial"/>
          <w:color w:val="211D1E"/>
        </w:rPr>
        <w:t xml:space="preserve"> that it is ‘a proportionate means of achieving a legitimate aim’. </w:t>
      </w:r>
      <w:r w:rsidR="00EA2C66">
        <w:rPr>
          <w:rFonts w:ascii="Arial" w:hAnsi="Arial" w:cs="Arial"/>
          <w:color w:val="211D1E"/>
        </w:rPr>
        <w:t xml:space="preserve"> </w:t>
      </w:r>
      <w:r w:rsidRPr="00283589">
        <w:rPr>
          <w:rFonts w:ascii="Arial" w:hAnsi="Arial" w:cs="Arial"/>
          <w:color w:val="211D1E"/>
        </w:rPr>
        <w:t xml:space="preserve">A </w:t>
      </w:r>
      <w:r w:rsidRPr="00283589">
        <w:rPr>
          <w:rFonts w:ascii="Arial" w:hAnsi="Arial" w:cs="Arial"/>
          <w:i/>
          <w:iCs/>
          <w:color w:val="211D1E"/>
        </w:rPr>
        <w:t>legitimate aim</w:t>
      </w:r>
      <w:r w:rsidRPr="00283589">
        <w:rPr>
          <w:rFonts w:ascii="Arial" w:hAnsi="Arial" w:cs="Arial"/>
          <w:color w:val="211D1E"/>
        </w:rPr>
        <w:t xml:space="preserve"> might be any lawful decision you make in running your business or </w:t>
      </w:r>
      <w:proofErr w:type="spellStart"/>
      <w:r w:rsidRPr="00283589">
        <w:rPr>
          <w:rFonts w:ascii="Arial" w:hAnsi="Arial" w:cs="Arial"/>
          <w:color w:val="211D1E"/>
        </w:rPr>
        <w:t>organisation</w:t>
      </w:r>
      <w:proofErr w:type="spellEnd"/>
      <w:r w:rsidRPr="00283589">
        <w:rPr>
          <w:rFonts w:ascii="Arial" w:hAnsi="Arial" w:cs="Arial"/>
          <w:color w:val="211D1E"/>
        </w:rPr>
        <w:t xml:space="preserve">, but if there is a discriminatory effect, the sole aim of reducing </w:t>
      </w:r>
      <w:r w:rsidR="00EA2C66">
        <w:rPr>
          <w:rFonts w:ascii="Arial" w:hAnsi="Arial" w:cs="Arial"/>
          <w:color w:val="211D1E"/>
        </w:rPr>
        <w:t>costs is likely to be unlawful.</w:t>
      </w:r>
    </w:p>
    <w:p w14:paraId="6F0C3E56" w14:textId="77777777" w:rsidR="00EA2C66" w:rsidRPr="00EA2C66" w:rsidRDefault="00EA2C66" w:rsidP="00EA2C66">
      <w:pPr>
        <w:pStyle w:val="Default"/>
      </w:pPr>
    </w:p>
    <w:p w14:paraId="43C05C7B" w14:textId="77777777" w:rsidR="00283589" w:rsidRDefault="00283589" w:rsidP="00EA2C66">
      <w:pPr>
        <w:pStyle w:val="CM4"/>
        <w:ind w:left="720" w:right="-43"/>
        <w:jc w:val="both"/>
        <w:rPr>
          <w:rFonts w:ascii="Arial" w:hAnsi="Arial" w:cs="Arial"/>
          <w:color w:val="211D1E"/>
        </w:rPr>
      </w:pPr>
      <w:r w:rsidRPr="00283589">
        <w:rPr>
          <w:rFonts w:ascii="Arial" w:hAnsi="Arial" w:cs="Arial"/>
          <w:color w:val="211D1E"/>
        </w:rPr>
        <w:t>Being proportionate really means being fair and reasonable, including showing that you’ve looked at ‘less discriminatory’ alternatives to any decision yo</w:t>
      </w:r>
      <w:r w:rsidR="005B7AD7">
        <w:rPr>
          <w:rFonts w:ascii="Arial" w:hAnsi="Arial" w:cs="Arial"/>
          <w:color w:val="211D1E"/>
        </w:rPr>
        <w:t>u make.</w:t>
      </w:r>
    </w:p>
    <w:p w14:paraId="45A8C29C" w14:textId="77777777" w:rsidR="009025A6" w:rsidRPr="009025A6" w:rsidRDefault="009025A6" w:rsidP="00EA2C66">
      <w:pPr>
        <w:pStyle w:val="Default"/>
        <w:ind w:right="-43"/>
      </w:pPr>
    </w:p>
    <w:p w14:paraId="763EB209" w14:textId="77777777" w:rsidR="00B54668" w:rsidRDefault="0042262E" w:rsidP="00EA2C66">
      <w:pPr>
        <w:pStyle w:val="CM18"/>
        <w:spacing w:after="0"/>
        <w:ind w:right="-43"/>
        <w:jc w:val="both"/>
        <w:rPr>
          <w:rFonts w:ascii="Arial" w:hAnsi="Arial" w:cs="Arial"/>
          <w:color w:val="007E7A"/>
        </w:rPr>
      </w:pPr>
      <w:r w:rsidRPr="00E35C30">
        <w:rPr>
          <w:rFonts w:ascii="Arial" w:hAnsi="Arial" w:cs="Arial"/>
        </w:rPr>
        <w:t>5.5</w:t>
      </w:r>
      <w:r>
        <w:rPr>
          <w:rFonts w:ascii="Arial" w:hAnsi="Arial" w:cs="Arial"/>
          <w:b/>
        </w:rPr>
        <w:tab/>
      </w:r>
      <w:r w:rsidR="00283589" w:rsidRPr="00283589">
        <w:rPr>
          <w:rFonts w:ascii="Arial" w:hAnsi="Arial" w:cs="Arial"/>
          <w:b/>
        </w:rPr>
        <w:t>Harassment</w:t>
      </w:r>
      <w:r w:rsidR="00283589" w:rsidRPr="00283589">
        <w:rPr>
          <w:rFonts w:ascii="Arial" w:hAnsi="Arial" w:cs="Arial"/>
          <w:color w:val="007E7A"/>
        </w:rPr>
        <w:tab/>
      </w:r>
    </w:p>
    <w:p w14:paraId="5E40FB87" w14:textId="77777777" w:rsidR="00283589" w:rsidRDefault="00B54668" w:rsidP="00EA2C66">
      <w:pPr>
        <w:pStyle w:val="Default"/>
        <w:ind w:left="720" w:right="-43"/>
        <w:jc w:val="both"/>
        <w:rPr>
          <w:i/>
          <w:iCs/>
        </w:rPr>
      </w:pPr>
      <w:r>
        <w:t xml:space="preserve">Harassment is: </w:t>
      </w:r>
      <w:r w:rsidR="00283589" w:rsidRPr="00283589">
        <w:t>“</w:t>
      </w:r>
      <w:r w:rsidR="00283589">
        <w:t xml:space="preserve">unwanted </w:t>
      </w:r>
      <w:r>
        <w:t xml:space="preserve">conduct </w:t>
      </w:r>
      <w:r w:rsidR="00283589" w:rsidRPr="00283589">
        <w:t>related</w:t>
      </w:r>
      <w:r w:rsidR="00283589">
        <w:t xml:space="preserve"> </w:t>
      </w:r>
      <w:r w:rsidR="00283589" w:rsidRPr="00283589">
        <w:t>to</w:t>
      </w:r>
      <w:r w:rsidR="00283589">
        <w:t xml:space="preserve"> </w:t>
      </w:r>
      <w:r w:rsidR="00283589" w:rsidRPr="00283589">
        <w:t>a</w:t>
      </w:r>
      <w:r w:rsidR="00283589">
        <w:t xml:space="preserve"> </w:t>
      </w:r>
      <w:r w:rsidR="00283589" w:rsidRPr="00283589">
        <w:t>relevant</w:t>
      </w:r>
      <w:r w:rsidR="00283589">
        <w:t xml:space="preserve"> </w:t>
      </w:r>
      <w:r w:rsidR="00283589" w:rsidRPr="00283589">
        <w:t>protected</w:t>
      </w:r>
      <w:r w:rsidR="00283589">
        <w:t xml:space="preserve"> characteristic, </w:t>
      </w:r>
      <w:r w:rsidR="00283589" w:rsidRPr="00283589">
        <w:t>which</w:t>
      </w:r>
      <w:r w:rsidR="00283589">
        <w:t xml:space="preserve"> </w:t>
      </w:r>
      <w:r w:rsidR="00283589" w:rsidRPr="00283589">
        <w:t>has</w:t>
      </w:r>
      <w:r w:rsidR="00283589">
        <w:t xml:space="preserve"> </w:t>
      </w:r>
      <w:r w:rsidR="00283589" w:rsidRPr="00283589">
        <w:t>th</w:t>
      </w:r>
      <w:r>
        <w:t xml:space="preserve">e purpose or effect of </w:t>
      </w:r>
      <w:r w:rsidR="00283589">
        <w:t xml:space="preserve">violating an individual’s dignity </w:t>
      </w:r>
      <w:r w:rsidR="00283589" w:rsidRPr="00283589">
        <w:t>or</w:t>
      </w:r>
      <w:r>
        <w:t xml:space="preserve"> </w:t>
      </w:r>
      <w:r w:rsidR="00283589" w:rsidRPr="00283589">
        <w:t>creating</w:t>
      </w:r>
      <w:r w:rsidR="00283589">
        <w:t xml:space="preserve"> </w:t>
      </w:r>
      <w:r w:rsidR="00283589" w:rsidRPr="00283589">
        <w:t>an</w:t>
      </w:r>
      <w:r w:rsidR="00283589">
        <w:t xml:space="preserve"> </w:t>
      </w:r>
      <w:r w:rsidR="00283589" w:rsidRPr="00283589">
        <w:t>intimidating,</w:t>
      </w:r>
      <w:r w:rsidR="00283589">
        <w:t xml:space="preserve"> </w:t>
      </w:r>
      <w:r w:rsidR="00283589" w:rsidRPr="00283589">
        <w:t>hostile,</w:t>
      </w:r>
      <w:r w:rsidR="000C3D60">
        <w:t xml:space="preserve"> degrading, </w:t>
      </w:r>
      <w:r w:rsidR="00283589" w:rsidRPr="00283589">
        <w:t>hu</w:t>
      </w:r>
      <w:r w:rsidR="000C3D60">
        <w:t xml:space="preserve">miliating or offensive environment for that </w:t>
      </w:r>
      <w:r w:rsidR="00283589" w:rsidRPr="00283589">
        <w:t>individual</w:t>
      </w:r>
      <w:r w:rsidR="00283589" w:rsidRPr="00283589">
        <w:rPr>
          <w:i/>
          <w:iCs/>
        </w:rPr>
        <w:t>”.</w:t>
      </w:r>
    </w:p>
    <w:p w14:paraId="7DFE5869" w14:textId="77777777" w:rsidR="00B54668" w:rsidRPr="00283589" w:rsidRDefault="00B54668" w:rsidP="00EA2C66">
      <w:pPr>
        <w:pStyle w:val="Default"/>
        <w:ind w:right="-43"/>
        <w:jc w:val="both"/>
      </w:pPr>
    </w:p>
    <w:p w14:paraId="2192A357" w14:textId="77777777" w:rsidR="009025A6" w:rsidRPr="00005F9C" w:rsidRDefault="00283589" w:rsidP="00005F9C">
      <w:pPr>
        <w:pStyle w:val="CM18"/>
        <w:spacing w:after="0" w:line="240" w:lineRule="atLeast"/>
        <w:ind w:left="720" w:right="-43"/>
        <w:jc w:val="both"/>
        <w:rPr>
          <w:rFonts w:ascii="Arial" w:hAnsi="Arial" w:cs="Arial"/>
          <w:color w:val="211D1E"/>
        </w:rPr>
      </w:pPr>
      <w:r w:rsidRPr="00283589">
        <w:rPr>
          <w:rFonts w:ascii="Arial" w:hAnsi="Arial" w:cs="Arial"/>
          <w:color w:val="211D1E"/>
        </w:rPr>
        <w:t xml:space="preserve">Harassment applies to all protected characteristics except for pregnancy and maternity and marriage and civil partnership. </w:t>
      </w:r>
      <w:r w:rsidR="00EA2C66">
        <w:rPr>
          <w:rFonts w:ascii="Arial" w:hAnsi="Arial" w:cs="Arial"/>
          <w:color w:val="211D1E"/>
        </w:rPr>
        <w:t xml:space="preserve"> </w:t>
      </w:r>
      <w:r w:rsidRPr="00283589">
        <w:rPr>
          <w:rFonts w:ascii="Arial" w:hAnsi="Arial" w:cs="Arial"/>
          <w:color w:val="211D1E"/>
        </w:rPr>
        <w:t xml:space="preserve">Employees will now be able to complain of </w:t>
      </w:r>
      <w:proofErr w:type="spellStart"/>
      <w:r w:rsidRPr="00283589">
        <w:rPr>
          <w:rFonts w:ascii="Arial" w:hAnsi="Arial" w:cs="Arial"/>
          <w:color w:val="211D1E"/>
        </w:rPr>
        <w:t>behaviour</w:t>
      </w:r>
      <w:proofErr w:type="spellEnd"/>
      <w:r w:rsidRPr="00283589">
        <w:rPr>
          <w:rFonts w:ascii="Arial" w:hAnsi="Arial" w:cs="Arial"/>
          <w:color w:val="211D1E"/>
        </w:rPr>
        <w:t xml:space="preserve"> that they find offensive even if it is not directed at them, and the complainant need not possess the relevant characteristic themselves.</w:t>
      </w:r>
      <w:r w:rsidR="00EA2C66">
        <w:rPr>
          <w:rFonts w:ascii="Arial" w:hAnsi="Arial" w:cs="Arial"/>
          <w:color w:val="211D1E"/>
        </w:rPr>
        <w:t xml:space="preserve">  </w:t>
      </w:r>
      <w:r w:rsidRPr="00283589">
        <w:rPr>
          <w:rFonts w:ascii="Arial" w:hAnsi="Arial" w:cs="Arial"/>
          <w:color w:val="211D1E"/>
        </w:rPr>
        <w:t>Employees are also protected from harassment because of perception and associa</w:t>
      </w:r>
      <w:r w:rsidR="005B7AD7">
        <w:rPr>
          <w:rFonts w:ascii="Arial" w:hAnsi="Arial" w:cs="Arial"/>
          <w:color w:val="211D1E"/>
        </w:rPr>
        <w:t>tion.</w:t>
      </w:r>
    </w:p>
    <w:p w14:paraId="1191095D" w14:textId="77777777" w:rsidR="00283589" w:rsidRPr="00283589" w:rsidRDefault="00283589" w:rsidP="00EA2C66">
      <w:pPr>
        <w:pStyle w:val="CM18"/>
        <w:spacing w:after="0" w:line="240" w:lineRule="atLeast"/>
        <w:ind w:left="720" w:right="-43"/>
        <w:jc w:val="both"/>
        <w:rPr>
          <w:rFonts w:ascii="Arial" w:hAnsi="Arial" w:cs="Arial"/>
          <w:color w:val="211D1E"/>
        </w:rPr>
      </w:pPr>
    </w:p>
    <w:p w14:paraId="0420F694" w14:textId="77777777" w:rsidR="00283589" w:rsidRPr="000C3D60" w:rsidRDefault="00005F9C" w:rsidP="00EA2C66">
      <w:pPr>
        <w:pStyle w:val="Default"/>
        <w:ind w:right="-43"/>
        <w:jc w:val="both"/>
        <w:rPr>
          <w:b/>
          <w:color w:val="auto"/>
        </w:rPr>
      </w:pPr>
      <w:r>
        <w:rPr>
          <w:color w:val="auto"/>
        </w:rPr>
        <w:t>5.6</w:t>
      </w:r>
      <w:r w:rsidR="0042262E">
        <w:rPr>
          <w:b/>
          <w:color w:val="auto"/>
        </w:rPr>
        <w:tab/>
      </w:r>
      <w:proofErr w:type="spellStart"/>
      <w:r w:rsidR="00283589" w:rsidRPr="000C3D60">
        <w:rPr>
          <w:b/>
          <w:color w:val="auto"/>
        </w:rPr>
        <w:t>Victimisation</w:t>
      </w:r>
      <w:proofErr w:type="spellEnd"/>
      <w:r w:rsidR="00283589" w:rsidRPr="000C3D60">
        <w:rPr>
          <w:b/>
          <w:color w:val="auto"/>
        </w:rPr>
        <w:tab/>
      </w:r>
    </w:p>
    <w:p w14:paraId="7FA02B4F" w14:textId="77777777" w:rsidR="00B54668" w:rsidRDefault="00283589" w:rsidP="00EA2C66">
      <w:pPr>
        <w:pStyle w:val="CM18"/>
        <w:spacing w:after="0" w:line="240" w:lineRule="atLeast"/>
        <w:ind w:left="720" w:right="-43"/>
        <w:jc w:val="both"/>
        <w:rPr>
          <w:rFonts w:ascii="Arial" w:hAnsi="Arial" w:cs="Arial"/>
          <w:color w:val="211D1E"/>
        </w:rPr>
      </w:pPr>
      <w:proofErr w:type="spellStart"/>
      <w:r w:rsidRPr="00283589">
        <w:rPr>
          <w:rFonts w:ascii="Arial" w:hAnsi="Arial" w:cs="Arial"/>
          <w:color w:val="211D1E"/>
        </w:rPr>
        <w:t>Victimisation</w:t>
      </w:r>
      <w:proofErr w:type="spellEnd"/>
      <w:r w:rsidRPr="00283589">
        <w:rPr>
          <w:rFonts w:ascii="Arial" w:hAnsi="Arial" w:cs="Arial"/>
          <w:color w:val="211D1E"/>
        </w:rPr>
        <w:t xml:space="preserve"> occurs when an employee is treated badly because they have made or supported a complaint or raised a grievance under the Equality Act; or because they are suspected of doing so. </w:t>
      </w:r>
      <w:r w:rsidR="00EA2C66">
        <w:rPr>
          <w:rFonts w:ascii="Arial" w:hAnsi="Arial" w:cs="Arial"/>
          <w:color w:val="211D1E"/>
        </w:rPr>
        <w:t xml:space="preserve"> </w:t>
      </w:r>
      <w:r w:rsidRPr="00283589">
        <w:rPr>
          <w:rFonts w:ascii="Arial" w:hAnsi="Arial" w:cs="Arial"/>
          <w:color w:val="211D1E"/>
        </w:rPr>
        <w:t xml:space="preserve">An employee is not protected from </w:t>
      </w:r>
      <w:proofErr w:type="spellStart"/>
      <w:r w:rsidRPr="00283589">
        <w:rPr>
          <w:rFonts w:ascii="Arial" w:hAnsi="Arial" w:cs="Arial"/>
          <w:color w:val="211D1E"/>
        </w:rPr>
        <w:t>victimisation</w:t>
      </w:r>
      <w:proofErr w:type="spellEnd"/>
      <w:r w:rsidRPr="00283589">
        <w:rPr>
          <w:rFonts w:ascii="Arial" w:hAnsi="Arial" w:cs="Arial"/>
          <w:color w:val="211D1E"/>
        </w:rPr>
        <w:t xml:space="preserve"> if they have maliciously made or supported an untrue complaint.</w:t>
      </w:r>
      <w:r w:rsidR="00EA2C66">
        <w:rPr>
          <w:rFonts w:ascii="Arial" w:hAnsi="Arial" w:cs="Arial"/>
          <w:color w:val="211D1E"/>
        </w:rPr>
        <w:t xml:space="preserve">  </w:t>
      </w:r>
      <w:r w:rsidRPr="00283589">
        <w:rPr>
          <w:rFonts w:ascii="Arial" w:hAnsi="Arial" w:cs="Arial"/>
          <w:color w:val="211D1E"/>
        </w:rPr>
        <w:t>There is no longer a need to compare treatment of a complainant with that of a person who has not made or supported a compla</w:t>
      </w:r>
      <w:r w:rsidR="005B7AD7">
        <w:rPr>
          <w:rFonts w:ascii="Arial" w:hAnsi="Arial" w:cs="Arial"/>
          <w:color w:val="211D1E"/>
        </w:rPr>
        <w:t xml:space="preserve">int under the Act. </w:t>
      </w:r>
    </w:p>
    <w:p w14:paraId="3EAA6199" w14:textId="77777777" w:rsidR="00E35C30" w:rsidRPr="00E35C30" w:rsidRDefault="00E35C30" w:rsidP="00EA2C66">
      <w:pPr>
        <w:pStyle w:val="Default"/>
        <w:ind w:right="-43"/>
        <w:jc w:val="both"/>
      </w:pPr>
    </w:p>
    <w:p w14:paraId="296EF3A4" w14:textId="77777777" w:rsidR="00A457B4" w:rsidRDefault="004200E5" w:rsidP="00EA2C66">
      <w:pPr>
        <w:pStyle w:val="CM20"/>
        <w:numPr>
          <w:ilvl w:val="0"/>
          <w:numId w:val="12"/>
        </w:numPr>
        <w:spacing w:after="0" w:line="240" w:lineRule="atLeast"/>
        <w:ind w:right="-43" w:hanging="720"/>
        <w:jc w:val="both"/>
      </w:pPr>
      <w:r w:rsidRPr="00B54668">
        <w:rPr>
          <w:rFonts w:ascii="Arial" w:hAnsi="Arial" w:cs="Arial"/>
          <w:b/>
          <w:bCs/>
        </w:rPr>
        <w:t xml:space="preserve">Responsibilities </w:t>
      </w:r>
      <w:r w:rsidR="00B54668">
        <w:t xml:space="preserve">  </w:t>
      </w:r>
    </w:p>
    <w:p w14:paraId="208591E1" w14:textId="77777777" w:rsidR="00B54668" w:rsidRDefault="00B54668" w:rsidP="00EA2C66">
      <w:pPr>
        <w:pStyle w:val="CM20"/>
        <w:spacing w:after="0" w:line="240" w:lineRule="atLeast"/>
        <w:ind w:left="360" w:right="-43"/>
        <w:jc w:val="both"/>
      </w:pPr>
      <w:r>
        <w:t xml:space="preserve">        </w:t>
      </w:r>
    </w:p>
    <w:p w14:paraId="3F3A1A2A" w14:textId="77777777" w:rsidR="009025A6" w:rsidRDefault="000A3533" w:rsidP="009025A6">
      <w:pPr>
        <w:pStyle w:val="CM20"/>
        <w:spacing w:after="0" w:line="240" w:lineRule="atLeast"/>
        <w:ind w:left="709" w:right="-43" w:hanging="709"/>
        <w:jc w:val="both"/>
        <w:rPr>
          <w:rFonts w:ascii="Arial" w:hAnsi="Arial" w:cs="Arial"/>
        </w:rPr>
      </w:pPr>
      <w:r>
        <w:rPr>
          <w:rFonts w:ascii="Arial" w:hAnsi="Arial" w:cs="Arial"/>
        </w:rPr>
        <w:t>6.1</w:t>
      </w:r>
      <w:r>
        <w:rPr>
          <w:rFonts w:ascii="Arial" w:hAnsi="Arial" w:cs="Arial"/>
        </w:rPr>
        <w:tab/>
      </w:r>
      <w:r w:rsidR="00A457B4">
        <w:rPr>
          <w:rFonts w:ascii="Arial" w:hAnsi="Arial" w:cs="Arial"/>
        </w:rPr>
        <w:t>T</w:t>
      </w:r>
      <w:r w:rsidR="004200E5" w:rsidRPr="00B54668">
        <w:rPr>
          <w:rFonts w:ascii="Arial" w:hAnsi="Arial" w:cs="Arial"/>
        </w:rPr>
        <w:t xml:space="preserve">he Authority will take all necessary steps to remove unreasonable </w:t>
      </w:r>
      <w:proofErr w:type="spellStart"/>
      <w:r w:rsidR="004200E5" w:rsidRPr="00B54668">
        <w:rPr>
          <w:rFonts w:ascii="Arial" w:hAnsi="Arial" w:cs="Arial"/>
        </w:rPr>
        <w:t>behaviour</w:t>
      </w:r>
      <w:proofErr w:type="spellEnd"/>
      <w:r w:rsidR="004200E5" w:rsidRPr="00B54668">
        <w:rPr>
          <w:rFonts w:ascii="Arial" w:hAnsi="Arial" w:cs="Arial"/>
        </w:rPr>
        <w:t xml:space="preserve"> from</w:t>
      </w:r>
      <w:r w:rsidR="00A457B4">
        <w:rPr>
          <w:rFonts w:ascii="Arial" w:hAnsi="Arial" w:cs="Arial"/>
        </w:rPr>
        <w:t xml:space="preserve"> </w:t>
      </w:r>
      <w:r w:rsidR="004200E5" w:rsidRPr="00B54668">
        <w:rPr>
          <w:rFonts w:ascii="Arial" w:hAnsi="Arial" w:cs="Arial"/>
        </w:rPr>
        <w:t>the workplace; however, individuals also have a responsibility to all their colleagues to treat them fairly and with respect.   All staff members are expected to abide by the standards laid out in this policy.  Whilst it is the responsibility of management to set and uphold standards, all staff members must play their part.</w:t>
      </w:r>
      <w:r w:rsidR="00EA2C66">
        <w:rPr>
          <w:rFonts w:ascii="Arial" w:hAnsi="Arial" w:cs="Arial"/>
        </w:rPr>
        <w:t xml:space="preserve">  </w:t>
      </w:r>
      <w:r w:rsidR="004200E5" w:rsidRPr="00B54668">
        <w:rPr>
          <w:rFonts w:ascii="Arial" w:hAnsi="Arial" w:cs="Arial"/>
        </w:rPr>
        <w:t xml:space="preserve">This means not allowing incidents to go unchallenged even if they are not the actual victim. </w:t>
      </w:r>
      <w:r w:rsidR="00EA2C66">
        <w:rPr>
          <w:rFonts w:ascii="Arial" w:hAnsi="Arial" w:cs="Arial"/>
        </w:rPr>
        <w:t xml:space="preserve"> </w:t>
      </w:r>
      <w:r w:rsidR="004200E5" w:rsidRPr="00B54668">
        <w:rPr>
          <w:rFonts w:ascii="Arial" w:hAnsi="Arial" w:cs="Arial"/>
        </w:rPr>
        <w:t xml:space="preserve">Human Resources has a responsibility to support managers and staff members in maintaining a </w:t>
      </w:r>
      <w:r w:rsidR="000C3D60" w:rsidRPr="00B54668">
        <w:rPr>
          <w:rFonts w:ascii="Arial" w:hAnsi="Arial" w:cs="Arial"/>
        </w:rPr>
        <w:t>fair and equitable</w:t>
      </w:r>
      <w:r w:rsidR="004200E5" w:rsidRPr="00B54668">
        <w:rPr>
          <w:rFonts w:ascii="Arial" w:hAnsi="Arial" w:cs="Arial"/>
        </w:rPr>
        <w:t xml:space="preserve"> workplace by providing support and guidance on the policy and procedures and providing practical help to resolve issues at the lowest level possible.</w:t>
      </w:r>
    </w:p>
    <w:p w14:paraId="330A844A" w14:textId="77777777" w:rsidR="004466FA" w:rsidRDefault="004200E5" w:rsidP="009025A6">
      <w:pPr>
        <w:pStyle w:val="CM20"/>
        <w:spacing w:after="0" w:line="240" w:lineRule="atLeast"/>
        <w:ind w:left="709" w:right="-43" w:hanging="709"/>
        <w:jc w:val="both"/>
      </w:pPr>
      <w:r w:rsidRPr="00B54668">
        <w:rPr>
          <w:rFonts w:ascii="Arial" w:hAnsi="Arial" w:cs="Arial"/>
        </w:rPr>
        <w:t xml:space="preserve"> </w:t>
      </w:r>
      <w:r>
        <w:t xml:space="preserve"> </w:t>
      </w:r>
    </w:p>
    <w:p w14:paraId="3581EC37" w14:textId="77777777" w:rsidR="004466FA" w:rsidRDefault="000A3533" w:rsidP="009025A6">
      <w:pPr>
        <w:pStyle w:val="Default"/>
        <w:ind w:left="709" w:hanging="709"/>
        <w:jc w:val="both"/>
        <w:rPr>
          <w:color w:val="auto"/>
        </w:rPr>
      </w:pPr>
      <w:r>
        <w:rPr>
          <w:color w:val="auto"/>
        </w:rPr>
        <w:t>6</w:t>
      </w:r>
      <w:r w:rsidR="004200E5">
        <w:rPr>
          <w:color w:val="auto"/>
        </w:rPr>
        <w:t xml:space="preserve">.2 </w:t>
      </w:r>
      <w:r w:rsidR="00337F7C">
        <w:rPr>
          <w:color w:val="auto"/>
        </w:rPr>
        <w:tab/>
      </w:r>
      <w:r w:rsidR="004200E5">
        <w:rPr>
          <w:color w:val="auto"/>
        </w:rPr>
        <w:t xml:space="preserve">Management and Human Resources also have the responsibility for maintaining awareness in the workplace of the required standards through periodic training and briefing. </w:t>
      </w:r>
      <w:r w:rsidR="00EA2C66">
        <w:rPr>
          <w:color w:val="auto"/>
        </w:rPr>
        <w:t xml:space="preserve"> </w:t>
      </w:r>
      <w:r w:rsidR="004200E5">
        <w:rPr>
          <w:color w:val="auto"/>
        </w:rPr>
        <w:t xml:space="preserve">From time to time Human Resources will review the policy to make sure it is up to date with current legislation and best practice. </w:t>
      </w:r>
      <w:r w:rsidR="00EA2C66">
        <w:rPr>
          <w:color w:val="auto"/>
        </w:rPr>
        <w:t xml:space="preserve"> </w:t>
      </w:r>
      <w:r w:rsidR="004200E5">
        <w:rPr>
          <w:color w:val="auto"/>
        </w:rPr>
        <w:t xml:space="preserve">Human Resources will also carry out monitoring of job applicants and the make-up of the workforce in order to assess whether the policy is being successfully implemented.  </w:t>
      </w:r>
    </w:p>
    <w:p w14:paraId="544FD1F2" w14:textId="77777777" w:rsidR="004466FA" w:rsidRDefault="004200E5" w:rsidP="009025A6">
      <w:pPr>
        <w:pStyle w:val="Default"/>
        <w:ind w:left="840" w:hanging="840"/>
        <w:jc w:val="both"/>
        <w:rPr>
          <w:color w:val="auto"/>
        </w:rPr>
      </w:pPr>
      <w:r>
        <w:rPr>
          <w:b/>
          <w:bCs/>
          <w:color w:val="auto"/>
        </w:rPr>
        <w:t xml:space="preserve"> </w:t>
      </w:r>
    </w:p>
    <w:p w14:paraId="15361432" w14:textId="77777777" w:rsidR="004466FA" w:rsidRDefault="00BC44FD" w:rsidP="009025A6">
      <w:pPr>
        <w:pStyle w:val="Default"/>
        <w:ind w:left="709" w:hanging="709"/>
        <w:jc w:val="both"/>
        <w:rPr>
          <w:color w:val="auto"/>
        </w:rPr>
      </w:pPr>
      <w:r>
        <w:rPr>
          <w:b/>
          <w:bCs/>
          <w:color w:val="auto"/>
        </w:rPr>
        <w:t>7</w:t>
      </w:r>
      <w:r w:rsidR="004200E5">
        <w:rPr>
          <w:b/>
          <w:bCs/>
          <w:color w:val="auto"/>
        </w:rPr>
        <w:t xml:space="preserve">  </w:t>
      </w:r>
      <w:r w:rsidR="000A3533">
        <w:rPr>
          <w:b/>
          <w:bCs/>
          <w:color w:val="auto"/>
        </w:rPr>
        <w:tab/>
      </w:r>
      <w:r w:rsidR="004200E5">
        <w:rPr>
          <w:b/>
          <w:bCs/>
          <w:color w:val="auto"/>
        </w:rPr>
        <w:t xml:space="preserve">Standards of </w:t>
      </w:r>
      <w:proofErr w:type="spellStart"/>
      <w:r w:rsidR="004200E5">
        <w:rPr>
          <w:b/>
          <w:bCs/>
          <w:color w:val="auto"/>
        </w:rPr>
        <w:t>behaviour</w:t>
      </w:r>
      <w:proofErr w:type="spellEnd"/>
      <w:r w:rsidR="004200E5">
        <w:rPr>
          <w:b/>
          <w:bCs/>
          <w:color w:val="auto"/>
        </w:rPr>
        <w:t xml:space="preserve">  </w:t>
      </w:r>
    </w:p>
    <w:p w14:paraId="56B18F7D" w14:textId="77777777" w:rsidR="004466FA" w:rsidRDefault="004200E5" w:rsidP="009025A6">
      <w:pPr>
        <w:pStyle w:val="Default"/>
        <w:ind w:left="840" w:hanging="840"/>
        <w:jc w:val="both"/>
        <w:rPr>
          <w:color w:val="auto"/>
        </w:rPr>
      </w:pPr>
      <w:r>
        <w:rPr>
          <w:b/>
          <w:bCs/>
          <w:color w:val="auto"/>
        </w:rPr>
        <w:t xml:space="preserve"> </w:t>
      </w:r>
    </w:p>
    <w:p w14:paraId="74DA99A1" w14:textId="77777777" w:rsidR="004466FA" w:rsidRPr="004200E5" w:rsidRDefault="00BC44FD" w:rsidP="009025A6">
      <w:pPr>
        <w:pStyle w:val="Default"/>
        <w:ind w:left="720" w:hanging="720"/>
        <w:jc w:val="both"/>
        <w:rPr>
          <w:color w:val="auto"/>
        </w:rPr>
      </w:pPr>
      <w:r w:rsidRPr="004200E5">
        <w:rPr>
          <w:color w:val="auto"/>
        </w:rPr>
        <w:t>7</w:t>
      </w:r>
      <w:r w:rsidR="004200E5" w:rsidRPr="004200E5">
        <w:rPr>
          <w:color w:val="auto"/>
        </w:rPr>
        <w:t xml:space="preserve">.1 </w:t>
      </w:r>
      <w:r w:rsidR="00337F7C">
        <w:rPr>
          <w:color w:val="auto"/>
        </w:rPr>
        <w:tab/>
      </w:r>
      <w:r w:rsidR="004200E5" w:rsidRPr="004200E5">
        <w:rPr>
          <w:color w:val="auto"/>
        </w:rPr>
        <w:t xml:space="preserve">Staff members must ensure by their attitude and </w:t>
      </w:r>
      <w:proofErr w:type="spellStart"/>
      <w:r w:rsidR="004200E5" w:rsidRPr="004200E5">
        <w:rPr>
          <w:color w:val="auto"/>
        </w:rPr>
        <w:t>behaviour</w:t>
      </w:r>
      <w:proofErr w:type="spellEnd"/>
      <w:r w:rsidR="004200E5" w:rsidRPr="004200E5">
        <w:rPr>
          <w:color w:val="auto"/>
        </w:rPr>
        <w:t xml:space="preserve"> to their colleagues and to everyone with whom the Authority works that they are without prejudice of any kind and that they promote fair treatment and acceptable </w:t>
      </w:r>
      <w:proofErr w:type="spellStart"/>
      <w:r w:rsidR="004200E5" w:rsidRPr="004200E5">
        <w:rPr>
          <w:color w:val="auto"/>
        </w:rPr>
        <w:t>behaviour</w:t>
      </w:r>
      <w:proofErr w:type="spellEnd"/>
      <w:r w:rsidR="004200E5" w:rsidRPr="004200E5">
        <w:rPr>
          <w:color w:val="auto"/>
        </w:rPr>
        <w:t xml:space="preserve">.  Staff members who unfairly discriminate against others will be in breach of their contract of employment and liable to be subjected to the disciplinary procedure, which may lead to their dismissal.  Equal treatment and an atmosphere of mutual respect will maintain good morale and a harmonious working environment. </w:t>
      </w:r>
    </w:p>
    <w:p w14:paraId="0144B2EC" w14:textId="77777777" w:rsidR="004466FA" w:rsidRDefault="004200E5" w:rsidP="009025A6">
      <w:pPr>
        <w:pStyle w:val="BodyTextIndent3"/>
        <w:ind w:left="840" w:hanging="840"/>
        <w:jc w:val="both"/>
      </w:pPr>
      <w:r>
        <w:t xml:space="preserve"> </w:t>
      </w:r>
    </w:p>
    <w:p w14:paraId="4390BDE8" w14:textId="77777777" w:rsidR="00A66481" w:rsidRDefault="00BC44FD" w:rsidP="00EA2C66">
      <w:pPr>
        <w:pStyle w:val="Default"/>
        <w:ind w:left="709" w:hanging="709"/>
        <w:jc w:val="both"/>
        <w:rPr>
          <w:color w:val="auto"/>
        </w:rPr>
      </w:pPr>
      <w:r w:rsidRPr="004200E5">
        <w:rPr>
          <w:color w:val="auto"/>
        </w:rPr>
        <w:t>7</w:t>
      </w:r>
      <w:r w:rsidR="004200E5" w:rsidRPr="004200E5">
        <w:rPr>
          <w:color w:val="auto"/>
        </w:rPr>
        <w:t>.2</w:t>
      </w:r>
      <w:r w:rsidR="00337F7C">
        <w:rPr>
          <w:color w:val="auto"/>
        </w:rPr>
        <w:tab/>
      </w:r>
      <w:r w:rsidR="004200E5" w:rsidRPr="004200E5">
        <w:rPr>
          <w:color w:val="auto"/>
        </w:rPr>
        <w:t xml:space="preserve">Unacceptable </w:t>
      </w:r>
      <w:proofErr w:type="spellStart"/>
      <w:r w:rsidR="004200E5" w:rsidRPr="004200E5">
        <w:rPr>
          <w:color w:val="auto"/>
        </w:rPr>
        <w:t>behaviour</w:t>
      </w:r>
      <w:proofErr w:type="spellEnd"/>
      <w:r w:rsidR="004200E5" w:rsidRPr="004200E5">
        <w:rPr>
          <w:color w:val="auto"/>
        </w:rPr>
        <w:t xml:space="preserve"> often occurs unintention</w:t>
      </w:r>
      <w:r w:rsidR="00EA2C66">
        <w:rPr>
          <w:color w:val="auto"/>
        </w:rPr>
        <w:t xml:space="preserve">ally, so the main focus of this </w:t>
      </w:r>
      <w:r w:rsidR="004200E5" w:rsidRPr="004200E5">
        <w:rPr>
          <w:color w:val="auto"/>
        </w:rPr>
        <w:t xml:space="preserve">policy is to ensure that problems are tackled early and informally, directly between the individuals involved and is not escalated to more formal procedures unless necessary.  It is important to remember that except in the most serious cases, those involved will be expected to continue to work together, so it is important that issues are tackled in a way that will ensure that difficulties are resolved effectively without causing more conflict. </w:t>
      </w:r>
      <w:r w:rsidR="00EA2C66">
        <w:rPr>
          <w:color w:val="auto"/>
        </w:rPr>
        <w:t xml:space="preserve"> </w:t>
      </w:r>
      <w:r w:rsidR="004200E5" w:rsidRPr="004200E5">
        <w:rPr>
          <w:color w:val="auto"/>
        </w:rPr>
        <w:t>However, it is also accepted that on some occasions it is necessary to have a more formal approach to deal with serious allegations in a fair and objective way.</w:t>
      </w:r>
    </w:p>
    <w:p w14:paraId="22D253A3" w14:textId="77777777" w:rsidR="004466FA" w:rsidRPr="004200E5" w:rsidRDefault="004200E5" w:rsidP="00EA2C66">
      <w:pPr>
        <w:pStyle w:val="Default"/>
        <w:ind w:left="709" w:hanging="709"/>
        <w:jc w:val="both"/>
        <w:rPr>
          <w:color w:val="auto"/>
        </w:rPr>
      </w:pPr>
      <w:r w:rsidRPr="004200E5">
        <w:rPr>
          <w:color w:val="auto"/>
        </w:rPr>
        <w:t xml:space="preserve"> </w:t>
      </w:r>
    </w:p>
    <w:p w14:paraId="79DF57CC" w14:textId="77777777" w:rsidR="004466FA" w:rsidRDefault="00BC44FD" w:rsidP="009025A6">
      <w:pPr>
        <w:pStyle w:val="Default"/>
        <w:ind w:left="709" w:hanging="709"/>
        <w:jc w:val="both"/>
        <w:rPr>
          <w:color w:val="00CCFF"/>
        </w:rPr>
      </w:pPr>
      <w:r>
        <w:rPr>
          <w:b/>
          <w:bCs/>
          <w:color w:val="auto"/>
        </w:rPr>
        <w:t>8</w:t>
      </w:r>
      <w:r w:rsidR="004200E5">
        <w:rPr>
          <w:b/>
          <w:bCs/>
          <w:color w:val="auto"/>
        </w:rPr>
        <w:t xml:space="preserve"> </w:t>
      </w:r>
      <w:r w:rsidR="00337F7C">
        <w:rPr>
          <w:b/>
          <w:bCs/>
          <w:color w:val="auto"/>
        </w:rPr>
        <w:tab/>
      </w:r>
      <w:r w:rsidR="004200E5">
        <w:rPr>
          <w:b/>
          <w:bCs/>
          <w:color w:val="auto"/>
        </w:rPr>
        <w:t>The legal obligations</w:t>
      </w:r>
      <w:r w:rsidR="004200E5">
        <w:rPr>
          <w:b/>
          <w:bCs/>
          <w:color w:val="00CCFF"/>
        </w:rPr>
        <w:t xml:space="preserve"> </w:t>
      </w:r>
    </w:p>
    <w:p w14:paraId="0838272C" w14:textId="77777777" w:rsidR="004466FA" w:rsidRDefault="004200E5" w:rsidP="009025A6">
      <w:pPr>
        <w:pStyle w:val="Default"/>
        <w:ind w:left="840" w:hanging="840"/>
        <w:jc w:val="both"/>
      </w:pPr>
      <w:r>
        <w:t xml:space="preserve"> </w:t>
      </w:r>
    </w:p>
    <w:p w14:paraId="6D437269" w14:textId="77777777" w:rsidR="004466FA" w:rsidRDefault="00BC44FD" w:rsidP="009025A6">
      <w:pPr>
        <w:pStyle w:val="Default"/>
        <w:ind w:left="709" w:hanging="709"/>
        <w:jc w:val="both"/>
      </w:pPr>
      <w:r>
        <w:t>8</w:t>
      </w:r>
      <w:r w:rsidR="004200E5">
        <w:t xml:space="preserve">.1 </w:t>
      </w:r>
      <w:r w:rsidR="00337F7C">
        <w:tab/>
      </w:r>
      <w:r w:rsidR="004200E5">
        <w:t xml:space="preserve">There are a number of laws covering all aspects of Equal Opportunities: </w:t>
      </w:r>
    </w:p>
    <w:p w14:paraId="4F892586" w14:textId="77777777" w:rsidR="004466FA" w:rsidRDefault="004200E5" w:rsidP="009025A6">
      <w:pPr>
        <w:pStyle w:val="Default"/>
        <w:ind w:left="840" w:hanging="840"/>
        <w:jc w:val="both"/>
      </w:pPr>
      <w:r>
        <w:lastRenderedPageBreak/>
        <w:t xml:space="preserve"> </w:t>
      </w:r>
    </w:p>
    <w:p w14:paraId="5B71576D" w14:textId="77777777" w:rsidR="000C3D60" w:rsidRDefault="000C3D60" w:rsidP="00005F9C">
      <w:pPr>
        <w:pStyle w:val="Default"/>
        <w:tabs>
          <w:tab w:val="left" w:pos="1134"/>
        </w:tabs>
        <w:ind w:left="1129" w:hanging="420"/>
        <w:jc w:val="both"/>
      </w:pPr>
      <w:r>
        <w:t xml:space="preserve">▪ </w:t>
      </w:r>
      <w:r w:rsidR="005B7AD7">
        <w:tab/>
      </w:r>
      <w:r>
        <w:t>The most recent legislation is</w:t>
      </w:r>
      <w:r w:rsidR="00005F9C">
        <w:t xml:space="preserve"> within the Equality Act 2010, and associated amendments.</w:t>
      </w:r>
    </w:p>
    <w:p w14:paraId="2633D0F5" w14:textId="77777777" w:rsidR="000C3D60" w:rsidRDefault="000C3D60" w:rsidP="009025A6">
      <w:pPr>
        <w:pStyle w:val="Default"/>
        <w:ind w:left="1134" w:hanging="425"/>
        <w:jc w:val="both"/>
      </w:pPr>
      <w:r>
        <w:t>▪</w:t>
      </w:r>
      <w:r w:rsidR="000A3533">
        <w:tab/>
      </w:r>
      <w:r>
        <w:t xml:space="preserve">The Act covers the same groups: age, disability, gender reassignment, race, </w:t>
      </w:r>
      <w:r w:rsidR="009863D1">
        <w:t>religion or</w:t>
      </w:r>
      <w:r>
        <w:t xml:space="preserve"> belief, sex, sexual orientation, </w:t>
      </w:r>
      <w:r w:rsidR="009863D1">
        <w:t>marriage and civil partnership, pregnancy and</w:t>
      </w:r>
      <w:r>
        <w:t xml:space="preserve"> maternity.  These are now called ‘Protected Characteristics’.</w:t>
      </w:r>
    </w:p>
    <w:p w14:paraId="2CE4111C" w14:textId="77777777" w:rsidR="00B25D0B" w:rsidRDefault="00B25D0B" w:rsidP="009025A6">
      <w:pPr>
        <w:pStyle w:val="Default"/>
        <w:ind w:left="840" w:hanging="840"/>
        <w:jc w:val="both"/>
      </w:pPr>
    </w:p>
    <w:p w14:paraId="44712B4D" w14:textId="77777777" w:rsidR="00B25D0B" w:rsidRDefault="00B25D0B" w:rsidP="009025A6">
      <w:pPr>
        <w:pStyle w:val="Default"/>
        <w:ind w:left="840" w:hanging="840"/>
        <w:jc w:val="both"/>
      </w:pPr>
    </w:p>
    <w:p w14:paraId="4496F16E" w14:textId="77777777" w:rsidR="00B25D0B" w:rsidRDefault="00B25D0B" w:rsidP="009025A6">
      <w:pPr>
        <w:pStyle w:val="Default"/>
        <w:ind w:left="840" w:hanging="840"/>
        <w:jc w:val="both"/>
      </w:pPr>
    </w:p>
    <w:p w14:paraId="6DB8D53C" w14:textId="77777777" w:rsidR="00B25D0B" w:rsidRPr="00B25D0B" w:rsidRDefault="00B25D0B" w:rsidP="009025A6">
      <w:pPr>
        <w:pStyle w:val="Default"/>
        <w:ind w:left="840" w:hanging="840"/>
        <w:jc w:val="both"/>
        <w:rPr>
          <w:rFonts w:ascii="Times New Roman" w:hAnsi="Times New Roman" w:cs="Times New Roman"/>
          <w:sz w:val="20"/>
          <w:szCs w:val="20"/>
        </w:rPr>
      </w:pPr>
    </w:p>
    <w:sectPr w:rsidR="00B25D0B" w:rsidRPr="00B25D0B" w:rsidSect="00A66481">
      <w:headerReference w:type="even" r:id="rId12"/>
      <w:headerReference w:type="default" r:id="rId13"/>
      <w:footerReference w:type="even" r:id="rId14"/>
      <w:footerReference w:type="default" r:id="rId15"/>
      <w:headerReference w:type="first" r:id="rId16"/>
      <w:footerReference w:type="first" r:id="rId17"/>
      <w:pgSz w:w="11905" w:h="16840" w:code="9"/>
      <w:pgMar w:top="533" w:right="1051" w:bottom="1843" w:left="154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7AED" w14:textId="77777777" w:rsidR="00C849CF" w:rsidRDefault="00C849CF" w:rsidP="00B17BA6">
      <w:pPr>
        <w:spacing w:after="0" w:line="240" w:lineRule="auto"/>
      </w:pPr>
      <w:r>
        <w:separator/>
      </w:r>
    </w:p>
  </w:endnote>
  <w:endnote w:type="continuationSeparator" w:id="0">
    <w:p w14:paraId="59E90B0C" w14:textId="77777777" w:rsidR="00C849CF" w:rsidRDefault="00C849CF" w:rsidP="00B17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LT Std">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EBA3C" w14:textId="77777777" w:rsidR="00C36DEB" w:rsidRDefault="00C36D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3DF58" w14:textId="77777777" w:rsidR="009025A6" w:rsidRDefault="00C36DEB" w:rsidP="00B17BA6">
    <w:pPr>
      <w:pStyle w:val="Footer"/>
      <w:pBdr>
        <w:top w:val="thinThickSmallGap" w:sz="24" w:space="1" w:color="622423" w:themeColor="accent2" w:themeShade="7F"/>
      </w:pBdr>
      <w:tabs>
        <w:tab w:val="right" w:pos="9320"/>
      </w:tabs>
      <w:rPr>
        <w:rFonts w:asciiTheme="majorHAnsi" w:hAnsiTheme="majorHAnsi"/>
      </w:rPr>
    </w:pPr>
    <w:r>
      <w:rPr>
        <w:rFonts w:asciiTheme="majorHAnsi" w:hAnsiTheme="majorHAnsi"/>
      </w:rPr>
      <w:t>May 2015</w:t>
    </w:r>
    <w:r w:rsidR="009025A6">
      <w:rPr>
        <w:rFonts w:asciiTheme="majorHAnsi" w:hAnsiTheme="majorHAnsi"/>
      </w:rPr>
      <w:tab/>
      <w:t xml:space="preserve">Page </w:t>
    </w:r>
    <w:r w:rsidR="00C849CF">
      <w:fldChar w:fldCharType="begin"/>
    </w:r>
    <w:r w:rsidR="00C849CF">
      <w:instrText xml:space="preserve"> PAGE   \* MERGEFORMAT </w:instrText>
    </w:r>
    <w:r w:rsidR="00C849CF">
      <w:fldChar w:fldCharType="separate"/>
    </w:r>
    <w:r w:rsidR="002E61B1" w:rsidRPr="002E61B1">
      <w:rPr>
        <w:rFonts w:asciiTheme="majorHAnsi" w:hAnsiTheme="majorHAnsi"/>
        <w:noProof/>
      </w:rPr>
      <w:t>1</w:t>
    </w:r>
    <w:r w:rsidR="00C849CF">
      <w:rPr>
        <w:rFonts w:asciiTheme="majorHAnsi" w:hAnsiTheme="majorHAnsi"/>
        <w:noProof/>
      </w:rPr>
      <w:fldChar w:fldCharType="end"/>
    </w:r>
  </w:p>
  <w:p w14:paraId="7D0C0EE7" w14:textId="77777777" w:rsidR="009025A6" w:rsidRDefault="009025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66ECF" w14:textId="77777777" w:rsidR="00C36DEB" w:rsidRDefault="00C36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95B8D" w14:textId="77777777" w:rsidR="00C849CF" w:rsidRDefault="00C849CF" w:rsidP="00B17BA6">
      <w:pPr>
        <w:spacing w:after="0" w:line="240" w:lineRule="auto"/>
      </w:pPr>
      <w:r>
        <w:separator/>
      </w:r>
    </w:p>
  </w:footnote>
  <w:footnote w:type="continuationSeparator" w:id="0">
    <w:p w14:paraId="21FEFCC7" w14:textId="77777777" w:rsidR="00C849CF" w:rsidRDefault="00C849CF" w:rsidP="00B17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5E5A5" w14:textId="77777777" w:rsidR="00C36DEB" w:rsidRDefault="00C36D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A101A" w14:textId="77777777" w:rsidR="009025A6" w:rsidRDefault="009025A6" w:rsidP="00D87D85">
    <w:pPr>
      <w:pStyle w:val="Header"/>
      <w:pBdr>
        <w:bottom w:val="thickThinSmallGap" w:sz="24" w:space="1" w:color="622423" w:themeColor="accent2" w:themeShade="7F"/>
      </w:pBdr>
      <w:jc w:val="center"/>
      <w:rPr>
        <w:rFonts w:asciiTheme="majorHAnsi" w:eastAsiaTheme="majorEastAsia" w:hAnsiTheme="majorHAnsi" w:cstheme="majorBidi"/>
        <w:sz w:val="32"/>
        <w:szCs w:val="32"/>
        <w:lang w:val="en-GB"/>
      </w:rPr>
    </w:pPr>
    <w:r>
      <w:rPr>
        <w:rFonts w:asciiTheme="majorHAnsi" w:eastAsiaTheme="majorEastAsia" w:hAnsiTheme="majorHAnsi" w:cstheme="majorBidi"/>
        <w:sz w:val="32"/>
        <w:szCs w:val="32"/>
        <w:lang w:val="en-GB"/>
      </w:rPr>
      <w:t xml:space="preserve">New Forest National Park Authority                    </w:t>
    </w:r>
  </w:p>
  <w:p w14:paraId="6E68AAB5" w14:textId="77777777" w:rsidR="009025A6" w:rsidRPr="00D87D85" w:rsidRDefault="009025A6" w:rsidP="00D87D85">
    <w:pPr>
      <w:pStyle w:val="Header"/>
      <w:pBdr>
        <w:bottom w:val="thickThinSmallGap" w:sz="24" w:space="1" w:color="622423" w:themeColor="accent2" w:themeShade="7F"/>
      </w:pBdr>
      <w:jc w:val="center"/>
      <w:rPr>
        <w:rFonts w:asciiTheme="majorHAnsi" w:eastAsiaTheme="majorEastAsia" w:hAnsiTheme="majorHAnsi" w:cstheme="majorBidi"/>
        <w:sz w:val="32"/>
        <w:szCs w:val="32"/>
        <w:lang w:val="en-GB"/>
      </w:rPr>
    </w:pPr>
    <w:r>
      <w:rPr>
        <w:rFonts w:asciiTheme="majorHAnsi" w:eastAsiaTheme="majorEastAsia" w:hAnsiTheme="majorHAnsi" w:cstheme="majorBidi"/>
        <w:sz w:val="32"/>
        <w:szCs w:val="32"/>
        <w:lang w:val="en-GB"/>
      </w:rPr>
      <w:t xml:space="preserve">Equal Opportunities Policy </w:t>
    </w:r>
  </w:p>
  <w:p w14:paraId="4069C5DC" w14:textId="77777777" w:rsidR="009025A6" w:rsidRDefault="009025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4037E" w14:textId="77777777" w:rsidR="00C36DEB" w:rsidRDefault="00C36D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AB54F4"/>
    <w:multiLevelType w:val="hybridMultilevel"/>
    <w:tmpl w:val="7A76E8A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B00F764"/>
    <w:multiLevelType w:val="hybridMultilevel"/>
    <w:tmpl w:val="5FF5F7C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37251E"/>
    <w:multiLevelType w:val="multilevel"/>
    <w:tmpl w:val="6772E1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F9E4C0"/>
    <w:multiLevelType w:val="hybridMultilevel"/>
    <w:tmpl w:val="AAD7240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1517880"/>
    <w:multiLevelType w:val="hybridMultilevel"/>
    <w:tmpl w:val="0C161F7E"/>
    <w:lvl w:ilvl="0" w:tplc="2FF667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176387"/>
    <w:multiLevelType w:val="hybridMultilevel"/>
    <w:tmpl w:val="52C10A8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DD86677"/>
    <w:multiLevelType w:val="multilevel"/>
    <w:tmpl w:val="743CA3BE"/>
    <w:lvl w:ilvl="0">
      <w:start w:val="6"/>
      <w:numFmt w:val="decimal"/>
      <w:lvlText w:val="%1.0"/>
      <w:lvlJc w:val="left"/>
      <w:pPr>
        <w:ind w:left="720" w:hanging="360"/>
      </w:pPr>
      <w:rPr>
        <w:rFonts w:ascii="Arial" w:hAnsi="Arial" w:cs="Arial" w:hint="default"/>
        <w:b/>
      </w:rPr>
    </w:lvl>
    <w:lvl w:ilvl="1">
      <w:start w:val="1"/>
      <w:numFmt w:val="decimal"/>
      <w:lvlText w:val="%1.%2"/>
      <w:lvlJc w:val="left"/>
      <w:pPr>
        <w:ind w:left="1440" w:hanging="360"/>
      </w:pPr>
      <w:rPr>
        <w:rFonts w:ascii="Arial" w:hAnsi="Arial" w:cs="Arial" w:hint="default"/>
        <w:b/>
      </w:rPr>
    </w:lvl>
    <w:lvl w:ilvl="2">
      <w:start w:val="1"/>
      <w:numFmt w:val="decimal"/>
      <w:lvlText w:val="%1.%2.%3"/>
      <w:lvlJc w:val="left"/>
      <w:pPr>
        <w:ind w:left="2520" w:hanging="720"/>
      </w:pPr>
      <w:rPr>
        <w:rFonts w:ascii="Arial" w:hAnsi="Arial" w:cs="Arial" w:hint="default"/>
        <w:b/>
      </w:rPr>
    </w:lvl>
    <w:lvl w:ilvl="3">
      <w:start w:val="1"/>
      <w:numFmt w:val="decimal"/>
      <w:lvlText w:val="%1.%2.%3.%4"/>
      <w:lvlJc w:val="left"/>
      <w:pPr>
        <w:ind w:left="3240" w:hanging="720"/>
      </w:pPr>
      <w:rPr>
        <w:rFonts w:ascii="Arial" w:hAnsi="Arial" w:cs="Arial" w:hint="default"/>
        <w:b/>
      </w:rPr>
    </w:lvl>
    <w:lvl w:ilvl="4">
      <w:start w:val="1"/>
      <w:numFmt w:val="decimal"/>
      <w:lvlText w:val="%1.%2.%3.%4.%5"/>
      <w:lvlJc w:val="left"/>
      <w:pPr>
        <w:ind w:left="4320" w:hanging="1080"/>
      </w:pPr>
      <w:rPr>
        <w:rFonts w:ascii="Arial" w:hAnsi="Arial" w:cs="Arial" w:hint="default"/>
        <w:b/>
      </w:rPr>
    </w:lvl>
    <w:lvl w:ilvl="5">
      <w:start w:val="1"/>
      <w:numFmt w:val="decimal"/>
      <w:lvlText w:val="%1.%2.%3.%4.%5.%6"/>
      <w:lvlJc w:val="left"/>
      <w:pPr>
        <w:ind w:left="5040" w:hanging="1080"/>
      </w:pPr>
      <w:rPr>
        <w:rFonts w:ascii="Arial" w:hAnsi="Arial" w:cs="Arial" w:hint="default"/>
        <w:b/>
      </w:rPr>
    </w:lvl>
    <w:lvl w:ilvl="6">
      <w:start w:val="1"/>
      <w:numFmt w:val="decimal"/>
      <w:lvlText w:val="%1.%2.%3.%4.%5.%6.%7"/>
      <w:lvlJc w:val="left"/>
      <w:pPr>
        <w:ind w:left="6120" w:hanging="1440"/>
      </w:pPr>
      <w:rPr>
        <w:rFonts w:ascii="Arial" w:hAnsi="Arial" w:cs="Arial" w:hint="default"/>
        <w:b/>
      </w:rPr>
    </w:lvl>
    <w:lvl w:ilvl="7">
      <w:start w:val="1"/>
      <w:numFmt w:val="decimal"/>
      <w:lvlText w:val="%1.%2.%3.%4.%5.%6.%7.%8"/>
      <w:lvlJc w:val="left"/>
      <w:pPr>
        <w:ind w:left="6840" w:hanging="1440"/>
      </w:pPr>
      <w:rPr>
        <w:rFonts w:ascii="Arial" w:hAnsi="Arial" w:cs="Arial" w:hint="default"/>
        <w:b/>
      </w:rPr>
    </w:lvl>
    <w:lvl w:ilvl="8">
      <w:start w:val="1"/>
      <w:numFmt w:val="decimal"/>
      <w:lvlText w:val="%1.%2.%3.%4.%5.%6.%7.%8.%9"/>
      <w:lvlJc w:val="left"/>
      <w:pPr>
        <w:ind w:left="7920" w:hanging="1800"/>
      </w:pPr>
      <w:rPr>
        <w:rFonts w:ascii="Arial" w:hAnsi="Arial" w:cs="Arial" w:hint="default"/>
        <w:b/>
      </w:rPr>
    </w:lvl>
  </w:abstractNum>
  <w:abstractNum w:abstractNumId="7" w15:restartNumberingAfterBreak="0">
    <w:nsid w:val="31EF54E2"/>
    <w:multiLevelType w:val="hybridMultilevel"/>
    <w:tmpl w:val="EB92F076"/>
    <w:lvl w:ilvl="0" w:tplc="B232ABD8">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4200B9"/>
    <w:multiLevelType w:val="hybridMultilevel"/>
    <w:tmpl w:val="ADD40BE2"/>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35E7DEF2"/>
    <w:multiLevelType w:val="hybridMultilevel"/>
    <w:tmpl w:val="63070ED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F8E72BA"/>
    <w:multiLevelType w:val="multilevel"/>
    <w:tmpl w:val="2BF4A734"/>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11" w15:restartNumberingAfterBreak="0">
    <w:nsid w:val="41355DC4"/>
    <w:multiLevelType w:val="multilevel"/>
    <w:tmpl w:val="C2AE414A"/>
    <w:lvl w:ilvl="0">
      <w:start w:val="5"/>
      <w:numFmt w:val="decimal"/>
      <w:lvlText w:val="%1.0"/>
      <w:lvlJc w:val="left"/>
      <w:pPr>
        <w:ind w:left="720" w:hanging="360"/>
      </w:pPr>
      <w:rPr>
        <w:rFonts w:ascii="Arial" w:hAnsi="Arial" w:cs="Arial" w:hint="default"/>
        <w:b/>
      </w:rPr>
    </w:lvl>
    <w:lvl w:ilvl="1">
      <w:start w:val="1"/>
      <w:numFmt w:val="decimal"/>
      <w:lvlText w:val="%1.%2"/>
      <w:lvlJc w:val="left"/>
      <w:pPr>
        <w:ind w:left="1440" w:hanging="360"/>
      </w:pPr>
      <w:rPr>
        <w:rFonts w:ascii="Arial" w:hAnsi="Arial" w:cs="Arial" w:hint="default"/>
        <w:b/>
      </w:rPr>
    </w:lvl>
    <w:lvl w:ilvl="2">
      <w:start w:val="1"/>
      <w:numFmt w:val="decimal"/>
      <w:lvlText w:val="%1.%2.%3"/>
      <w:lvlJc w:val="left"/>
      <w:pPr>
        <w:ind w:left="2520" w:hanging="720"/>
      </w:pPr>
      <w:rPr>
        <w:rFonts w:ascii="Arial" w:hAnsi="Arial" w:cs="Arial" w:hint="default"/>
        <w:b/>
      </w:rPr>
    </w:lvl>
    <w:lvl w:ilvl="3">
      <w:start w:val="1"/>
      <w:numFmt w:val="decimal"/>
      <w:lvlText w:val="%1.%2.%3.%4"/>
      <w:lvlJc w:val="left"/>
      <w:pPr>
        <w:ind w:left="3240" w:hanging="720"/>
      </w:pPr>
      <w:rPr>
        <w:rFonts w:ascii="Arial" w:hAnsi="Arial" w:cs="Arial" w:hint="default"/>
        <w:b/>
      </w:rPr>
    </w:lvl>
    <w:lvl w:ilvl="4">
      <w:start w:val="1"/>
      <w:numFmt w:val="decimal"/>
      <w:lvlText w:val="%1.%2.%3.%4.%5"/>
      <w:lvlJc w:val="left"/>
      <w:pPr>
        <w:ind w:left="4320" w:hanging="1080"/>
      </w:pPr>
      <w:rPr>
        <w:rFonts w:ascii="Arial" w:hAnsi="Arial" w:cs="Arial" w:hint="default"/>
        <w:b/>
      </w:rPr>
    </w:lvl>
    <w:lvl w:ilvl="5">
      <w:start w:val="1"/>
      <w:numFmt w:val="decimal"/>
      <w:lvlText w:val="%1.%2.%3.%4.%5.%6"/>
      <w:lvlJc w:val="left"/>
      <w:pPr>
        <w:ind w:left="5040" w:hanging="1080"/>
      </w:pPr>
      <w:rPr>
        <w:rFonts w:ascii="Arial" w:hAnsi="Arial" w:cs="Arial" w:hint="default"/>
        <w:b/>
      </w:rPr>
    </w:lvl>
    <w:lvl w:ilvl="6">
      <w:start w:val="1"/>
      <w:numFmt w:val="decimal"/>
      <w:lvlText w:val="%1.%2.%3.%4.%5.%6.%7"/>
      <w:lvlJc w:val="left"/>
      <w:pPr>
        <w:ind w:left="6120" w:hanging="1440"/>
      </w:pPr>
      <w:rPr>
        <w:rFonts w:ascii="Arial" w:hAnsi="Arial" w:cs="Arial" w:hint="default"/>
        <w:b/>
      </w:rPr>
    </w:lvl>
    <w:lvl w:ilvl="7">
      <w:start w:val="1"/>
      <w:numFmt w:val="decimal"/>
      <w:lvlText w:val="%1.%2.%3.%4.%5.%6.%7.%8"/>
      <w:lvlJc w:val="left"/>
      <w:pPr>
        <w:ind w:left="6840" w:hanging="1440"/>
      </w:pPr>
      <w:rPr>
        <w:rFonts w:ascii="Arial" w:hAnsi="Arial" w:cs="Arial" w:hint="default"/>
        <w:b/>
      </w:rPr>
    </w:lvl>
    <w:lvl w:ilvl="8">
      <w:start w:val="1"/>
      <w:numFmt w:val="decimal"/>
      <w:lvlText w:val="%1.%2.%3.%4.%5.%6.%7.%8.%9"/>
      <w:lvlJc w:val="left"/>
      <w:pPr>
        <w:ind w:left="7920" w:hanging="1800"/>
      </w:pPr>
      <w:rPr>
        <w:rFonts w:ascii="Arial" w:hAnsi="Arial" w:cs="Arial" w:hint="default"/>
        <w:b/>
      </w:rPr>
    </w:lvl>
  </w:abstractNum>
  <w:abstractNum w:abstractNumId="12" w15:restartNumberingAfterBreak="0">
    <w:nsid w:val="5D64A2D2"/>
    <w:multiLevelType w:val="hybridMultilevel"/>
    <w:tmpl w:val="1A09EFB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515271F"/>
    <w:multiLevelType w:val="hybridMultilevel"/>
    <w:tmpl w:val="8A60ED8A"/>
    <w:lvl w:ilvl="0" w:tplc="A7862EC4">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0A17E4"/>
    <w:multiLevelType w:val="multilevel"/>
    <w:tmpl w:val="7DFCB134"/>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970403551">
    <w:abstractNumId w:val="0"/>
  </w:num>
  <w:num w:numId="2" w16cid:durableId="360982145">
    <w:abstractNumId w:val="1"/>
  </w:num>
  <w:num w:numId="3" w16cid:durableId="1949583813">
    <w:abstractNumId w:val="3"/>
  </w:num>
  <w:num w:numId="4" w16cid:durableId="1234390937">
    <w:abstractNumId w:val="12"/>
  </w:num>
  <w:num w:numId="5" w16cid:durableId="1058256">
    <w:abstractNumId w:val="9"/>
  </w:num>
  <w:num w:numId="6" w16cid:durableId="1316641188">
    <w:abstractNumId w:val="5"/>
  </w:num>
  <w:num w:numId="7" w16cid:durableId="119543539">
    <w:abstractNumId w:val="2"/>
  </w:num>
  <w:num w:numId="8" w16cid:durableId="768428402">
    <w:abstractNumId w:val="13"/>
  </w:num>
  <w:num w:numId="9" w16cid:durableId="422995842">
    <w:abstractNumId w:val="4"/>
  </w:num>
  <w:num w:numId="10" w16cid:durableId="33358538">
    <w:abstractNumId w:val="7"/>
  </w:num>
  <w:num w:numId="11" w16cid:durableId="1331328352">
    <w:abstractNumId w:val="11"/>
  </w:num>
  <w:num w:numId="12" w16cid:durableId="582684764">
    <w:abstractNumId w:val="6"/>
  </w:num>
  <w:num w:numId="13" w16cid:durableId="1201474677">
    <w:abstractNumId w:val="10"/>
  </w:num>
  <w:num w:numId="14" w16cid:durableId="400294527">
    <w:abstractNumId w:val="14"/>
  </w:num>
  <w:num w:numId="15" w16cid:durableId="16629992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574"/>
    <w:rsid w:val="00005F9C"/>
    <w:rsid w:val="00053583"/>
    <w:rsid w:val="000A3533"/>
    <w:rsid w:val="000C3D60"/>
    <w:rsid w:val="00104602"/>
    <w:rsid w:val="00106969"/>
    <w:rsid w:val="00142381"/>
    <w:rsid w:val="001565A7"/>
    <w:rsid w:val="0017071A"/>
    <w:rsid w:val="001D4492"/>
    <w:rsid w:val="00200D0A"/>
    <w:rsid w:val="00231DEB"/>
    <w:rsid w:val="00283589"/>
    <w:rsid w:val="002A0BBB"/>
    <w:rsid w:val="002E61B1"/>
    <w:rsid w:val="00303053"/>
    <w:rsid w:val="00310E85"/>
    <w:rsid w:val="00337F7C"/>
    <w:rsid w:val="00384D7C"/>
    <w:rsid w:val="003E386F"/>
    <w:rsid w:val="00404492"/>
    <w:rsid w:val="004200E5"/>
    <w:rsid w:val="0042262E"/>
    <w:rsid w:val="004466FA"/>
    <w:rsid w:val="004C68F5"/>
    <w:rsid w:val="00580AF1"/>
    <w:rsid w:val="005B7AD7"/>
    <w:rsid w:val="006A396E"/>
    <w:rsid w:val="00723E3B"/>
    <w:rsid w:val="007B254F"/>
    <w:rsid w:val="00810263"/>
    <w:rsid w:val="008F6F62"/>
    <w:rsid w:val="009025A6"/>
    <w:rsid w:val="009031B5"/>
    <w:rsid w:val="00912C89"/>
    <w:rsid w:val="009863D1"/>
    <w:rsid w:val="009F77AE"/>
    <w:rsid w:val="00A17107"/>
    <w:rsid w:val="00A457B4"/>
    <w:rsid w:val="00A66481"/>
    <w:rsid w:val="00B17BA6"/>
    <w:rsid w:val="00B25D0B"/>
    <w:rsid w:val="00B54668"/>
    <w:rsid w:val="00B84574"/>
    <w:rsid w:val="00BC44FD"/>
    <w:rsid w:val="00BD42E2"/>
    <w:rsid w:val="00C36DEB"/>
    <w:rsid w:val="00C849CF"/>
    <w:rsid w:val="00D47926"/>
    <w:rsid w:val="00D87D85"/>
    <w:rsid w:val="00D92DEB"/>
    <w:rsid w:val="00DC2E46"/>
    <w:rsid w:val="00E03AA9"/>
    <w:rsid w:val="00E35C30"/>
    <w:rsid w:val="00E95274"/>
    <w:rsid w:val="00EA2C66"/>
    <w:rsid w:val="00EC43DB"/>
    <w:rsid w:val="00F02FEA"/>
    <w:rsid w:val="00F6568C"/>
    <w:rsid w:val="00FF3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B71D41"/>
  <w15:docId w15:val="{5507949D-438D-4DEE-974A-24B7927DC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D60"/>
    <w:pPr>
      <w:spacing w:after="200" w:line="276" w:lineRule="auto"/>
    </w:pPr>
    <w:rPr>
      <w:sz w:val="22"/>
      <w:szCs w:val="22"/>
      <w:lang w:bidi="en-US"/>
    </w:rPr>
  </w:style>
  <w:style w:type="paragraph" w:styleId="Heading1">
    <w:name w:val="heading 1"/>
    <w:aliases w:val="ReportHeading1"/>
    <w:basedOn w:val="Normal"/>
    <w:next w:val="Normal"/>
    <w:link w:val="Heading1Char"/>
    <w:uiPriority w:val="9"/>
    <w:qFormat/>
    <w:rsid w:val="000C3D60"/>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unhideWhenUsed/>
    <w:qFormat/>
    <w:rsid w:val="000C3D60"/>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semiHidden/>
    <w:unhideWhenUsed/>
    <w:qFormat/>
    <w:rsid w:val="000C3D60"/>
    <w:pPr>
      <w:spacing w:before="200" w:after="0" w:line="271" w:lineRule="auto"/>
      <w:outlineLvl w:val="2"/>
    </w:pPr>
    <w:rPr>
      <w:rFonts w:ascii="Cambria" w:hAnsi="Cambria"/>
      <w:b/>
      <w:bCs/>
    </w:rPr>
  </w:style>
  <w:style w:type="paragraph" w:styleId="Heading4">
    <w:name w:val="heading 4"/>
    <w:basedOn w:val="Normal"/>
    <w:next w:val="Normal"/>
    <w:link w:val="Heading4Char"/>
    <w:uiPriority w:val="9"/>
    <w:semiHidden/>
    <w:unhideWhenUsed/>
    <w:qFormat/>
    <w:rsid w:val="000C3D60"/>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0C3D60"/>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0C3D60"/>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0C3D60"/>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0C3D60"/>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0C3D60"/>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66FA"/>
    <w:pPr>
      <w:widowControl w:val="0"/>
      <w:autoSpaceDE w:val="0"/>
      <w:autoSpaceDN w:val="0"/>
      <w:adjustRightInd w:val="0"/>
    </w:pPr>
    <w:rPr>
      <w:rFonts w:ascii="Arial" w:hAnsi="Arial" w:cs="Arial"/>
      <w:color w:val="000000"/>
      <w:sz w:val="24"/>
      <w:szCs w:val="24"/>
      <w:lang w:bidi="en-US"/>
    </w:rPr>
  </w:style>
  <w:style w:type="character" w:customStyle="1" w:styleId="Heading1Char">
    <w:name w:val="Heading 1 Char"/>
    <w:aliases w:val="ReportHeading1 Char"/>
    <w:basedOn w:val="DefaultParagraphFont"/>
    <w:link w:val="Heading1"/>
    <w:uiPriority w:val="9"/>
    <w:rsid w:val="000C3D60"/>
    <w:rPr>
      <w:rFonts w:ascii="Cambria" w:eastAsia="Times New Roman" w:hAnsi="Cambria" w:cs="Times New Roman"/>
      <w:b/>
      <w:bCs/>
      <w:sz w:val="28"/>
      <w:szCs w:val="28"/>
    </w:rPr>
  </w:style>
  <w:style w:type="paragraph" w:styleId="Footer">
    <w:name w:val="footer"/>
    <w:basedOn w:val="Default"/>
    <w:next w:val="Default"/>
    <w:link w:val="FooterChar"/>
    <w:uiPriority w:val="99"/>
    <w:rsid w:val="004466FA"/>
    <w:rPr>
      <w:color w:val="auto"/>
    </w:rPr>
  </w:style>
  <w:style w:type="character" w:customStyle="1" w:styleId="FooterChar">
    <w:name w:val="Footer Char"/>
    <w:basedOn w:val="DefaultParagraphFont"/>
    <w:link w:val="Footer"/>
    <w:uiPriority w:val="99"/>
    <w:rsid w:val="004466FA"/>
    <w:rPr>
      <w:rFonts w:ascii="Arial" w:hAnsi="Arial" w:cs="Arial"/>
      <w:sz w:val="24"/>
      <w:szCs w:val="24"/>
    </w:rPr>
  </w:style>
  <w:style w:type="paragraph" w:styleId="BodyTextIndent2">
    <w:name w:val="Body Text Indent 2"/>
    <w:basedOn w:val="Default"/>
    <w:next w:val="Default"/>
    <w:link w:val="BodyTextIndent2Char"/>
    <w:uiPriority w:val="99"/>
    <w:rsid w:val="004466FA"/>
    <w:rPr>
      <w:color w:val="auto"/>
    </w:rPr>
  </w:style>
  <w:style w:type="character" w:customStyle="1" w:styleId="BodyTextIndent2Char">
    <w:name w:val="Body Text Indent 2 Char"/>
    <w:basedOn w:val="DefaultParagraphFont"/>
    <w:link w:val="BodyTextIndent2"/>
    <w:uiPriority w:val="99"/>
    <w:semiHidden/>
    <w:rsid w:val="004466FA"/>
    <w:rPr>
      <w:rFonts w:ascii="Arial" w:hAnsi="Arial" w:cs="Arial"/>
      <w:sz w:val="24"/>
      <w:szCs w:val="24"/>
    </w:rPr>
  </w:style>
  <w:style w:type="character" w:customStyle="1" w:styleId="Heading2Char">
    <w:name w:val="Heading 2 Char"/>
    <w:basedOn w:val="DefaultParagraphFont"/>
    <w:link w:val="Heading2"/>
    <w:uiPriority w:val="9"/>
    <w:rsid w:val="000C3D60"/>
    <w:rPr>
      <w:rFonts w:ascii="Cambria" w:eastAsia="Times New Roman" w:hAnsi="Cambria" w:cs="Times New Roman"/>
      <w:b/>
      <w:bCs/>
      <w:sz w:val="26"/>
      <w:szCs w:val="26"/>
    </w:rPr>
  </w:style>
  <w:style w:type="paragraph" w:styleId="BodyTextIndent">
    <w:name w:val="Body Text Indent"/>
    <w:basedOn w:val="Default"/>
    <w:next w:val="Default"/>
    <w:link w:val="BodyTextIndentChar"/>
    <w:uiPriority w:val="99"/>
    <w:rsid w:val="004466FA"/>
    <w:rPr>
      <w:color w:val="auto"/>
    </w:rPr>
  </w:style>
  <w:style w:type="character" w:customStyle="1" w:styleId="BodyTextIndentChar">
    <w:name w:val="Body Text Indent Char"/>
    <w:basedOn w:val="DefaultParagraphFont"/>
    <w:link w:val="BodyTextIndent"/>
    <w:uiPriority w:val="99"/>
    <w:semiHidden/>
    <w:rsid w:val="004466FA"/>
    <w:rPr>
      <w:rFonts w:ascii="Arial" w:hAnsi="Arial" w:cs="Arial"/>
      <w:sz w:val="24"/>
      <w:szCs w:val="24"/>
    </w:rPr>
  </w:style>
  <w:style w:type="paragraph" w:styleId="BodyTextIndent3">
    <w:name w:val="Body Text Indent 3"/>
    <w:basedOn w:val="Default"/>
    <w:next w:val="Default"/>
    <w:link w:val="BodyTextIndent3Char"/>
    <w:uiPriority w:val="99"/>
    <w:rsid w:val="004466FA"/>
    <w:rPr>
      <w:color w:val="auto"/>
    </w:rPr>
  </w:style>
  <w:style w:type="character" w:customStyle="1" w:styleId="BodyTextIndent3Char">
    <w:name w:val="Body Text Indent 3 Char"/>
    <w:basedOn w:val="DefaultParagraphFont"/>
    <w:link w:val="BodyTextIndent3"/>
    <w:uiPriority w:val="99"/>
    <w:semiHidden/>
    <w:rsid w:val="004466FA"/>
    <w:rPr>
      <w:rFonts w:ascii="Arial" w:hAnsi="Arial" w:cs="Arial"/>
      <w:sz w:val="16"/>
      <w:szCs w:val="16"/>
    </w:rPr>
  </w:style>
  <w:style w:type="paragraph" w:customStyle="1" w:styleId="CM20">
    <w:name w:val="CM20"/>
    <w:basedOn w:val="Default"/>
    <w:next w:val="Default"/>
    <w:uiPriority w:val="99"/>
    <w:rsid w:val="00283589"/>
    <w:pPr>
      <w:spacing w:after="475"/>
    </w:pPr>
    <w:rPr>
      <w:rFonts w:ascii="HelveticaNeueLT Std" w:hAnsi="HelveticaNeueLT Std" w:cs="Times New Roman"/>
      <w:color w:val="auto"/>
    </w:rPr>
  </w:style>
  <w:style w:type="paragraph" w:customStyle="1" w:styleId="CM18">
    <w:name w:val="CM18"/>
    <w:basedOn w:val="Default"/>
    <w:next w:val="Default"/>
    <w:uiPriority w:val="99"/>
    <w:rsid w:val="00283589"/>
    <w:pPr>
      <w:spacing w:after="233"/>
    </w:pPr>
    <w:rPr>
      <w:rFonts w:ascii="HelveticaNeueLT Std" w:hAnsi="HelveticaNeueLT Std" w:cs="Times New Roman"/>
      <w:color w:val="auto"/>
    </w:rPr>
  </w:style>
  <w:style w:type="paragraph" w:customStyle="1" w:styleId="CM4">
    <w:name w:val="CM4"/>
    <w:basedOn w:val="Default"/>
    <w:next w:val="Default"/>
    <w:uiPriority w:val="99"/>
    <w:rsid w:val="00283589"/>
    <w:pPr>
      <w:spacing w:line="240" w:lineRule="atLeast"/>
    </w:pPr>
    <w:rPr>
      <w:rFonts w:ascii="HelveticaNeueLT Std" w:hAnsi="HelveticaNeueLT Std" w:cs="Times New Roman"/>
      <w:color w:val="auto"/>
    </w:rPr>
  </w:style>
  <w:style w:type="character" w:customStyle="1" w:styleId="Heading3Char">
    <w:name w:val="Heading 3 Char"/>
    <w:basedOn w:val="DefaultParagraphFont"/>
    <w:link w:val="Heading3"/>
    <w:uiPriority w:val="9"/>
    <w:rsid w:val="000C3D60"/>
    <w:rPr>
      <w:rFonts w:ascii="Cambria" w:eastAsia="Times New Roman" w:hAnsi="Cambria" w:cs="Times New Roman"/>
      <w:b/>
      <w:bCs/>
    </w:rPr>
  </w:style>
  <w:style w:type="character" w:customStyle="1" w:styleId="Heading4Char">
    <w:name w:val="Heading 4 Char"/>
    <w:basedOn w:val="DefaultParagraphFont"/>
    <w:link w:val="Heading4"/>
    <w:uiPriority w:val="9"/>
    <w:semiHidden/>
    <w:rsid w:val="000C3D60"/>
    <w:rPr>
      <w:rFonts w:ascii="Cambria" w:eastAsia="Times New Roman" w:hAnsi="Cambria" w:cs="Times New Roman"/>
      <w:b/>
      <w:bCs/>
      <w:i/>
      <w:iCs/>
    </w:rPr>
  </w:style>
  <w:style w:type="character" w:customStyle="1" w:styleId="Heading5Char">
    <w:name w:val="Heading 5 Char"/>
    <w:basedOn w:val="DefaultParagraphFont"/>
    <w:link w:val="Heading5"/>
    <w:uiPriority w:val="9"/>
    <w:semiHidden/>
    <w:rsid w:val="000C3D60"/>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0C3D60"/>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0C3D60"/>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0C3D60"/>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0C3D60"/>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0C3D60"/>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0C3D60"/>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0C3D60"/>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0C3D60"/>
    <w:rPr>
      <w:rFonts w:ascii="Cambria" w:eastAsia="Times New Roman" w:hAnsi="Cambria" w:cs="Times New Roman"/>
      <w:i/>
      <w:iCs/>
      <w:spacing w:val="13"/>
      <w:sz w:val="24"/>
      <w:szCs w:val="24"/>
    </w:rPr>
  </w:style>
  <w:style w:type="character" w:styleId="Strong">
    <w:name w:val="Strong"/>
    <w:uiPriority w:val="22"/>
    <w:qFormat/>
    <w:rsid w:val="000C3D60"/>
    <w:rPr>
      <w:b/>
      <w:bCs/>
    </w:rPr>
  </w:style>
  <w:style w:type="character" w:styleId="Emphasis">
    <w:name w:val="Emphasis"/>
    <w:uiPriority w:val="20"/>
    <w:qFormat/>
    <w:rsid w:val="000C3D60"/>
    <w:rPr>
      <w:b/>
      <w:bCs/>
      <w:i/>
      <w:iCs/>
      <w:spacing w:val="10"/>
      <w:bdr w:val="none" w:sz="0" w:space="0" w:color="auto"/>
      <w:shd w:val="clear" w:color="auto" w:fill="auto"/>
    </w:rPr>
  </w:style>
  <w:style w:type="paragraph" w:styleId="NoSpacing">
    <w:name w:val="No Spacing"/>
    <w:basedOn w:val="Normal"/>
    <w:uiPriority w:val="1"/>
    <w:qFormat/>
    <w:rsid w:val="000C3D60"/>
    <w:pPr>
      <w:spacing w:after="0" w:line="240" w:lineRule="auto"/>
    </w:pPr>
  </w:style>
  <w:style w:type="paragraph" w:styleId="ListParagraph">
    <w:name w:val="List Paragraph"/>
    <w:basedOn w:val="Normal"/>
    <w:uiPriority w:val="34"/>
    <w:qFormat/>
    <w:rsid w:val="000C3D60"/>
    <w:pPr>
      <w:ind w:left="720"/>
      <w:contextualSpacing/>
    </w:pPr>
  </w:style>
  <w:style w:type="paragraph" w:styleId="Quote">
    <w:name w:val="Quote"/>
    <w:basedOn w:val="Normal"/>
    <w:next w:val="Normal"/>
    <w:link w:val="QuoteChar"/>
    <w:uiPriority w:val="29"/>
    <w:qFormat/>
    <w:rsid w:val="000C3D60"/>
    <w:pPr>
      <w:spacing w:before="200" w:after="0"/>
      <w:ind w:left="360" w:right="360"/>
    </w:pPr>
    <w:rPr>
      <w:i/>
      <w:iCs/>
    </w:rPr>
  </w:style>
  <w:style w:type="character" w:customStyle="1" w:styleId="QuoteChar">
    <w:name w:val="Quote Char"/>
    <w:basedOn w:val="DefaultParagraphFont"/>
    <w:link w:val="Quote"/>
    <w:uiPriority w:val="29"/>
    <w:rsid w:val="000C3D60"/>
    <w:rPr>
      <w:i/>
      <w:iCs/>
    </w:rPr>
  </w:style>
  <w:style w:type="paragraph" w:styleId="IntenseQuote">
    <w:name w:val="Intense Quote"/>
    <w:basedOn w:val="Normal"/>
    <w:next w:val="Normal"/>
    <w:link w:val="IntenseQuoteChar"/>
    <w:uiPriority w:val="30"/>
    <w:qFormat/>
    <w:rsid w:val="000C3D6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C3D60"/>
    <w:rPr>
      <w:b/>
      <w:bCs/>
      <w:i/>
      <w:iCs/>
    </w:rPr>
  </w:style>
  <w:style w:type="character" w:styleId="SubtleEmphasis">
    <w:name w:val="Subtle Emphasis"/>
    <w:uiPriority w:val="19"/>
    <w:qFormat/>
    <w:rsid w:val="000C3D60"/>
    <w:rPr>
      <w:i/>
      <w:iCs/>
    </w:rPr>
  </w:style>
  <w:style w:type="character" w:styleId="IntenseEmphasis">
    <w:name w:val="Intense Emphasis"/>
    <w:uiPriority w:val="21"/>
    <w:qFormat/>
    <w:rsid w:val="000C3D60"/>
    <w:rPr>
      <w:b/>
      <w:bCs/>
    </w:rPr>
  </w:style>
  <w:style w:type="character" w:styleId="SubtleReference">
    <w:name w:val="Subtle Reference"/>
    <w:uiPriority w:val="31"/>
    <w:qFormat/>
    <w:rsid w:val="000C3D60"/>
    <w:rPr>
      <w:smallCaps/>
    </w:rPr>
  </w:style>
  <w:style w:type="character" w:styleId="IntenseReference">
    <w:name w:val="Intense Reference"/>
    <w:uiPriority w:val="32"/>
    <w:qFormat/>
    <w:rsid w:val="000C3D60"/>
    <w:rPr>
      <w:smallCaps/>
      <w:spacing w:val="5"/>
      <w:u w:val="single"/>
    </w:rPr>
  </w:style>
  <w:style w:type="character" w:styleId="BookTitle">
    <w:name w:val="Book Title"/>
    <w:uiPriority w:val="33"/>
    <w:qFormat/>
    <w:rsid w:val="000C3D60"/>
    <w:rPr>
      <w:i/>
      <w:iCs/>
      <w:smallCaps/>
      <w:spacing w:val="5"/>
    </w:rPr>
  </w:style>
  <w:style w:type="paragraph" w:styleId="TOCHeading">
    <w:name w:val="TOC Heading"/>
    <w:basedOn w:val="Heading1"/>
    <w:next w:val="Normal"/>
    <w:uiPriority w:val="39"/>
    <w:semiHidden/>
    <w:unhideWhenUsed/>
    <w:qFormat/>
    <w:rsid w:val="000C3D60"/>
    <w:pPr>
      <w:outlineLvl w:val="9"/>
    </w:pPr>
  </w:style>
  <w:style w:type="table" w:styleId="TableGrid">
    <w:name w:val="Table Grid"/>
    <w:basedOn w:val="TableNormal"/>
    <w:uiPriority w:val="59"/>
    <w:rsid w:val="001069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DarkList-Accent4">
    <w:name w:val="Dark List Accent 4"/>
    <w:basedOn w:val="TableNormal"/>
    <w:uiPriority w:val="70"/>
    <w:rsid w:val="00106969"/>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Grid2-Accent4">
    <w:name w:val="Medium Grid 2 Accent 4"/>
    <w:basedOn w:val="TableNormal"/>
    <w:uiPriority w:val="68"/>
    <w:rsid w:val="00106969"/>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List2-Accent6">
    <w:name w:val="Medium List 2 Accent 6"/>
    <w:basedOn w:val="TableNormal"/>
    <w:uiPriority w:val="66"/>
    <w:rsid w:val="00106969"/>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styleId="Header">
    <w:name w:val="header"/>
    <w:basedOn w:val="Normal"/>
    <w:link w:val="HeaderChar"/>
    <w:uiPriority w:val="99"/>
    <w:unhideWhenUsed/>
    <w:rsid w:val="00B17BA6"/>
    <w:pPr>
      <w:tabs>
        <w:tab w:val="center" w:pos="4680"/>
        <w:tab w:val="right" w:pos="9360"/>
      </w:tabs>
    </w:pPr>
  </w:style>
  <w:style w:type="character" w:customStyle="1" w:styleId="HeaderChar">
    <w:name w:val="Header Char"/>
    <w:basedOn w:val="DefaultParagraphFont"/>
    <w:link w:val="Header"/>
    <w:uiPriority w:val="99"/>
    <w:rsid w:val="00B17BA6"/>
  </w:style>
  <w:style w:type="paragraph" w:styleId="BalloonText">
    <w:name w:val="Balloon Text"/>
    <w:basedOn w:val="Normal"/>
    <w:link w:val="BalloonTextChar"/>
    <w:uiPriority w:val="99"/>
    <w:semiHidden/>
    <w:unhideWhenUsed/>
    <w:rsid w:val="00B17B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B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ocedure" ma:contentTypeID="0x0101001C6EAACD4297A34FB78066705EE5CBDF2B008BEF03C8B8DF0442BE23D731F1BA99BE" ma:contentTypeVersion="7" ma:contentTypeDescription="" ma:contentTypeScope="" ma:versionID="690b6648445727b167bc478c21ffaac3">
  <xsd:schema xmlns:xsd="http://www.w3.org/2001/XMLSchema" xmlns:xs="http://www.w3.org/2001/XMLSchema" xmlns:p="http://schemas.microsoft.com/office/2006/metadata/properties" xmlns:ns2="785c0d6c-d75e-4040-92a2-176dc0e6d95b" targetNamespace="http://schemas.microsoft.com/office/2006/metadata/properties" ma:root="true" ma:fieldsID="2979ba5ea7385c67435b7177d3950b2c" ns2:_="">
    <xsd:import namespace="785c0d6c-d75e-4040-92a2-176dc0e6d95b"/>
    <xsd:element name="properties">
      <xsd:complexType>
        <xsd:sequence>
          <xsd:element name="documentManagement">
            <xsd:complexType>
              <xsd:all>
                <xsd:element ref="ns2:HR_x0020_Subject" minOccurs="0"/>
                <xsd:element ref="ns2:HR_x0020_Website_x0020_Section" minOccurs="0"/>
                <xsd:element ref="ns2:Intranet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c0d6c-d75e-4040-92a2-176dc0e6d95b" elementFormDefault="qualified">
    <xsd:import namespace="http://schemas.microsoft.com/office/2006/documentManagement/types"/>
    <xsd:import namespace="http://schemas.microsoft.com/office/infopath/2007/PartnerControls"/>
    <xsd:element name="HR_x0020_Subject" ma:index="8" nillable="true" ma:displayName="HR Subject" ma:format="Dropdown" ma:internalName="HR_x0020_Subject">
      <xsd:simpleType>
        <xsd:restriction base="dms:Choice">
          <xsd:enumeration value="Conduct at Work"/>
          <xsd:enumeration value="Flexible Working"/>
          <xsd:enumeration value="Health and Wellbeing"/>
          <xsd:enumeration value="Just Joined"/>
          <xsd:enumeration value="Learning and Development"/>
          <xsd:enumeration value="Leaving the Authority"/>
          <xsd:enumeration value="Maternity, Paternity and Adoption"/>
          <xsd:enumeration value="Performance Management"/>
          <xsd:enumeration value="Recruitment and Selection"/>
          <xsd:enumeration value="Union"/>
          <xsd:enumeration value="Volunteering"/>
          <xsd:enumeration value="Working Here"/>
        </xsd:restriction>
      </xsd:simpleType>
    </xsd:element>
    <xsd:element name="HR_x0020_Website_x0020_Section" ma:index="9" nillable="true" ma:displayName="HR Website Section" ma:format="Dropdown" ma:internalName="HR_x0020_Website_x0020_Section">
      <xsd:simpleType>
        <xsd:restriction base="dms:Choice">
          <xsd:enumeration value="Bribery and Corruption"/>
          <xsd:enumeration value="Changing Circumstances"/>
          <xsd:enumeration value="Equality and Diversity"/>
          <xsd:enumeration value="Forms and Templates"/>
          <xsd:enumeration value="Induction Checklists"/>
          <xsd:enumeration value="Learning and Development"/>
          <xsd:enumeration value="Pay and Reward"/>
          <xsd:enumeration value="Performance Management"/>
          <xsd:enumeration value="Values"/>
          <xsd:enumeration value="Wellbeing"/>
          <xsd:enumeration value="Who's Who"/>
          <xsd:enumeration value="Work-life Balance"/>
        </xsd:restriction>
      </xsd:simpleType>
    </xsd:element>
    <xsd:element name="Intranet_x0020_Document" ma:index="10" nillable="true" ma:displayName="Intranet Document" ma:default="1" ma:internalName="Intranet_x0020_Docu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9e60fe8-607a-4d99-80bb-697715a5c521" ContentTypeId="0x0101001C6EAACD4297A34FB78066705EE5CBDF2B" PreviousValue="false"/>
</file>

<file path=customXml/item4.xml><?xml version="1.0" encoding="utf-8"?>
<p:properties xmlns:p="http://schemas.microsoft.com/office/2006/metadata/properties" xmlns:xsi="http://www.w3.org/2001/XMLSchema-instance">
  <documentManagement>
    <Intranet_x0020_Document xmlns="785c0d6c-d75e-4040-92a2-176dc0e6d95b">true</Intranet_x0020_Document>
    <HR_x0020_Subject xmlns="785c0d6c-d75e-4040-92a2-176dc0e6d95b">Working Here</HR_x0020_Subject>
    <HR_x0020_Website_x0020_Section xmlns="785c0d6c-d75e-4040-92a2-176dc0e6d95b">Equality and Diversity</HR_x0020_Website_x0020_Section>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A71DB-8076-4C6F-A95A-AB9590932DD4}">
  <ds:schemaRefs>
    <ds:schemaRef ds:uri="http://schemas.microsoft.com/sharepoint/v3/contenttype/forms"/>
  </ds:schemaRefs>
</ds:datastoreItem>
</file>

<file path=customXml/itemProps2.xml><?xml version="1.0" encoding="utf-8"?>
<ds:datastoreItem xmlns:ds="http://schemas.openxmlformats.org/officeDocument/2006/customXml" ds:itemID="{863B456C-96CC-4770-9FC7-7A52E1184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c0d6c-d75e-4040-92a2-176dc0e6d9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D292AB-05A3-4266-9B56-5FB3AA5CB2F3}">
  <ds:schemaRefs>
    <ds:schemaRef ds:uri="Microsoft.SharePoint.Taxonomy.ContentTypeSync"/>
  </ds:schemaRefs>
</ds:datastoreItem>
</file>

<file path=customXml/itemProps4.xml><?xml version="1.0" encoding="utf-8"?>
<ds:datastoreItem xmlns:ds="http://schemas.openxmlformats.org/officeDocument/2006/customXml" ds:itemID="{56107149-65FF-48FB-9254-15BD9D0CD348}">
  <ds:schemaRefs>
    <ds:schemaRef ds:uri="http://schemas.microsoft.com/office/2006/metadata/properties"/>
    <ds:schemaRef ds:uri="785c0d6c-d75e-4040-92a2-176dc0e6d95b"/>
  </ds:schemaRefs>
</ds:datastoreItem>
</file>

<file path=customXml/itemProps5.xml><?xml version="1.0" encoding="utf-8"?>
<ds:datastoreItem xmlns:ds="http://schemas.openxmlformats.org/officeDocument/2006/customXml" ds:itemID="{0E3DFE7B-73B7-4A70-AF21-ADB40E6B9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1368</Words>
  <Characters>7803</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Equal Opportunities Policy </vt:lpstr>
    </vt:vector>
  </TitlesOfParts>
  <Company>New Forest National Park Authority</Company>
  <LinksUpToDate>false</LinksUpToDate>
  <CharactersWithSpaces>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 Policy</dc:title>
  <dc:creator>HA</dc:creator>
  <cp:lastModifiedBy>Maria Court</cp:lastModifiedBy>
  <cp:revision>2</cp:revision>
  <cp:lastPrinted>2011-06-07T11:39:00Z</cp:lastPrinted>
  <dcterms:created xsi:type="dcterms:W3CDTF">2023-03-02T10:42:00Z</dcterms:created>
  <dcterms:modified xsi:type="dcterms:W3CDTF">2023-03-02T10:42:00Z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0x0101001C6EAACD4297A34FB78066705EE5CBDF2B008BEF03C8B8DF0442BE23D731F1BA99BE</vt:lpwstr>
  </property>
  <property fmtid="{D5CDD505-2E9C-101B-9397-08002B2CF9AE}" pid="3" name="HR Subject">
    <vt:lpwstr>Working Here</vt:lpwstr>
  </property>
  <property fmtid="{D5CDD505-2E9C-101B-9397-08002B2CF9AE}" pid="4" name="Homepage">
    <vt:lpwstr>0 - No</vt:lpwstr>
  </property>
  <property fmtid="{D5CDD505-2E9C-101B-9397-08002B2CF9AE}" pid="5" name="Document Type">
    <vt:lpwstr/>
  </property>
  <property fmtid="{D5CDD505-2E9C-101B-9397-08002B2CF9AE}" pid="6" name="Security0">
    <vt:lpwstr/>
  </property>
  <property fmtid="{D5CDD505-2E9C-101B-9397-08002B2CF9AE}" pid="7" name="PublishingExpirationDate">
    <vt:lpwstr/>
  </property>
  <property fmtid="{D5CDD505-2E9C-101B-9397-08002B2CF9AE}" pid="8" name="PublishingStartDate">
    <vt:lpwstr/>
  </property>
  <property fmtid="{D5CDD505-2E9C-101B-9397-08002B2CF9AE}" pid="9" name="_dlc_DocIdItemGuid">
    <vt:lpwstr>e31961cb-f283-443c-8c76-4607878cedbf</vt:lpwstr>
  </property>
  <property fmtid="{D5CDD505-2E9C-101B-9397-08002B2CF9AE}" pid="10" name="Security">
    <vt:lpwstr>HR</vt:lpwstr>
  </property>
  <property fmtid="{D5CDD505-2E9C-101B-9397-08002B2CF9AE}" pid="11" name="HR Web Site Section">
    <vt:lpwstr>6</vt:lpwstr>
  </property>
  <property fmtid="{D5CDD505-2E9C-101B-9397-08002B2CF9AE}" pid="12" name="HR Website Section">
    <vt:lpwstr>Equality and Diversity</vt:lpwstr>
  </property>
  <property fmtid="{D5CDD505-2E9C-101B-9397-08002B2CF9AE}" pid="13" name="Home Page">
    <vt:lpwstr>1 - High</vt:lpwstr>
  </property>
</Properties>
</file>