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7464" w14:textId="77777777" w:rsidR="001B2F3C" w:rsidRDefault="001B2F3C">
      <w:pPr>
        <w:keepNext/>
        <w:pBdr>
          <w:top w:val="nil"/>
          <w:left w:val="nil"/>
          <w:bottom w:val="nil"/>
          <w:right w:val="nil"/>
          <w:between w:val="nil"/>
        </w:pBdr>
        <w:ind w:left="0"/>
        <w:jc w:val="left"/>
        <w:rPr>
          <w:b/>
          <w:color w:val="000000"/>
          <w:sz w:val="32"/>
          <w:szCs w:val="32"/>
        </w:rPr>
      </w:pPr>
      <w:bookmarkStart w:id="0" w:name="_heading=h.1ci93xb" w:colFirst="0" w:colLast="0"/>
      <w:bookmarkEnd w:id="0"/>
    </w:p>
    <w:p w14:paraId="08121DC3" w14:textId="77777777" w:rsidR="001B2F3C" w:rsidRDefault="00C3671C">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14:paraId="3A0C77DD" w14:textId="77777777" w:rsidR="001B2F3C" w:rsidRDefault="00C3671C">
      <w:pPr>
        <w:keepNext/>
        <w:numPr>
          <w:ilvl w:val="0"/>
          <w:numId w:val="9"/>
        </w:numPr>
        <w:pBdr>
          <w:top w:val="nil"/>
          <w:left w:val="nil"/>
          <w:bottom w:val="nil"/>
          <w:right w:val="nil"/>
          <w:between w:val="nil"/>
        </w:pBdr>
        <w:tabs>
          <w:tab w:val="left" w:pos="0"/>
        </w:tabs>
        <w:spacing w:before="240"/>
        <w:jc w:val="left"/>
        <w:rPr>
          <w:b/>
          <w:smallCaps/>
          <w:color w:val="000000"/>
          <w:sz w:val="24"/>
          <w:szCs w:val="24"/>
        </w:rPr>
      </w:pPr>
      <w:bookmarkStart w:id="1" w:name="_heading=h.gjdgxs" w:colFirst="0" w:colLast="0"/>
      <w:bookmarkEnd w:id="1"/>
      <w:r>
        <w:rPr>
          <w:b/>
          <w:smallCaps/>
          <w:color w:val="000000"/>
          <w:sz w:val="24"/>
          <w:szCs w:val="24"/>
        </w:rPr>
        <w:t>D</w:t>
      </w:r>
      <w:r>
        <w:rPr>
          <w:rFonts w:ascii="Arial Bold" w:eastAsia="Arial Bold" w:hAnsi="Arial Bold" w:cs="Arial Bold"/>
          <w:b/>
          <w:color w:val="000000"/>
          <w:sz w:val="24"/>
          <w:szCs w:val="24"/>
        </w:rPr>
        <w:t>efinitions</w:t>
      </w:r>
    </w:p>
    <w:p w14:paraId="0B5F31B4" w14:textId="77777777" w:rsidR="001B2F3C" w:rsidRDefault="00C3671C">
      <w:pPr>
        <w:keepNext/>
        <w:numPr>
          <w:ilvl w:val="1"/>
          <w:numId w:val="9"/>
        </w:numPr>
        <w:pBdr>
          <w:top w:val="nil"/>
          <w:left w:val="nil"/>
          <w:bottom w:val="nil"/>
          <w:right w:val="nil"/>
          <w:between w:val="nil"/>
        </w:pBdr>
        <w:spacing w:before="120" w:after="12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0"/>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1B2F3C" w14:paraId="4E32D268" w14:textId="77777777">
        <w:tc>
          <w:tcPr>
            <w:tcW w:w="3097" w:type="dxa"/>
          </w:tcPr>
          <w:p w14:paraId="5E0286C1"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“Annual Revenue”</w:t>
            </w:r>
          </w:p>
        </w:tc>
        <w:tc>
          <w:tcPr>
            <w:tcW w:w="5075" w:type="dxa"/>
          </w:tcPr>
          <w:p w14:paraId="21F87514" w14:textId="77777777" w:rsidR="001B2F3C" w:rsidRDefault="00C3671C">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3B0475F" w14:textId="77777777" w:rsidR="001B2F3C" w:rsidRDefault="00C3671C">
            <w:pPr>
              <w:numPr>
                <w:ilvl w:val="4"/>
                <w:numId w:val="10"/>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figures for accounting periods of other than 12 months should be scaled pro rata to produce a proforma figure for a 12 month period; and</w:t>
            </w:r>
          </w:p>
          <w:p w14:paraId="2CAEEFD0" w14:textId="77777777" w:rsidR="001B2F3C" w:rsidRDefault="00C3671C">
            <w:pPr>
              <w:numPr>
                <w:ilvl w:val="4"/>
                <w:numId w:val="10"/>
              </w:numPr>
              <w:pBdr>
                <w:top w:val="nil"/>
                <w:left w:val="nil"/>
                <w:bottom w:val="nil"/>
                <w:right w:val="nil"/>
                <w:between w:val="nil"/>
              </w:pBdr>
              <w:spacing w:after="240"/>
              <w:ind w:left="605" w:hanging="567"/>
              <w:rPr>
                <w:rFonts w:ascii="Arial" w:eastAsia="Arial" w:hAnsi="Arial" w:cs="Arial"/>
                <w:color w:val="000000"/>
                <w:sz w:val="24"/>
                <w:szCs w:val="24"/>
              </w:rPr>
            </w:pPr>
            <w:r>
              <w:rPr>
                <w:rFonts w:ascii="Arial" w:eastAsia="Arial" w:hAnsi="Arial" w:cs="Arial"/>
                <w:color w:val="000000"/>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1B2F3C" w14:paraId="3F47DD64" w14:textId="77777777">
        <w:tc>
          <w:tcPr>
            <w:tcW w:w="3097" w:type="dxa"/>
          </w:tcPr>
          <w:p w14:paraId="0EBEC370"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“Appropriate Authority” or “Appropriate Authorities”</w:t>
            </w:r>
          </w:p>
        </w:tc>
        <w:tc>
          <w:tcPr>
            <w:tcW w:w="5075" w:type="dxa"/>
          </w:tcPr>
          <w:p w14:paraId="475C697E"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Buyer and the Cabinet Office Markets and Suppliers Team or, where the Supplier is a Strategic Supplier, the Cabinet Office Markets and Suppliers Team;</w:t>
            </w:r>
          </w:p>
        </w:tc>
      </w:tr>
      <w:tr w:rsidR="001B2F3C" w14:paraId="29A4CDF3" w14:textId="77777777">
        <w:tc>
          <w:tcPr>
            <w:tcW w:w="3097" w:type="dxa"/>
          </w:tcPr>
          <w:p w14:paraId="43051E45"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“Associates”</w:t>
            </w:r>
          </w:p>
        </w:tc>
        <w:tc>
          <w:tcPr>
            <w:tcW w:w="5075" w:type="dxa"/>
          </w:tcPr>
          <w:p w14:paraId="366707D9"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1B2F3C" w14:paraId="4D27E0E5" w14:textId="77777777">
        <w:tc>
          <w:tcPr>
            <w:tcW w:w="3097" w:type="dxa"/>
          </w:tcPr>
          <w:p w14:paraId="327DAD02"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"BCDR Plan"</w:t>
            </w:r>
          </w:p>
        </w:tc>
        <w:tc>
          <w:tcPr>
            <w:tcW w:w="5075" w:type="dxa"/>
          </w:tcPr>
          <w:p w14:paraId="1A62F561" w14:textId="77777777" w:rsidR="001B2F3C" w:rsidRDefault="00C3671C">
            <w:pPr>
              <w:pBdr>
                <w:top w:val="nil"/>
                <w:left w:val="nil"/>
                <w:bottom w:val="nil"/>
                <w:right w:val="nil"/>
                <w:between w:val="nil"/>
              </w:pBdr>
              <w:spacing w:before="120" w:after="120"/>
              <w:ind w:left="0"/>
              <w:jc w:val="left"/>
              <w:rPr>
                <w:rFonts w:ascii="Arial" w:eastAsia="Arial" w:hAnsi="Arial" w:cs="Arial"/>
                <w:color w:val="000000"/>
                <w:sz w:val="24"/>
                <w:szCs w:val="24"/>
              </w:rPr>
            </w:pPr>
            <w:r>
              <w:rPr>
                <w:rFonts w:ascii="Arial" w:eastAsia="Arial" w:hAnsi="Arial" w:cs="Arial"/>
                <w:color w:val="000000"/>
                <w:sz w:val="24"/>
                <w:szCs w:val="24"/>
              </w:rPr>
              <w:t>a plan which details the processes and arrangements that the Supplier shall follow to:</w:t>
            </w:r>
          </w:p>
          <w:p w14:paraId="616C40EF" w14:textId="77777777" w:rsidR="001B2F3C" w:rsidRDefault="00C3671C">
            <w:pPr>
              <w:numPr>
                <w:ilvl w:val="3"/>
                <w:numId w:val="9"/>
              </w:numPr>
              <w:pBdr>
                <w:top w:val="nil"/>
                <w:left w:val="nil"/>
                <w:bottom w:val="nil"/>
                <w:right w:val="nil"/>
                <w:between w:val="nil"/>
              </w:pBdr>
              <w:tabs>
                <w:tab w:val="left" w:pos="1985"/>
                <w:tab w:val="left" w:pos="2127"/>
              </w:tabs>
              <w:spacing w:before="120" w:after="120"/>
              <w:rPr>
                <w:color w:val="000000"/>
                <w:sz w:val="24"/>
                <w:szCs w:val="24"/>
              </w:rPr>
            </w:pPr>
            <w:r>
              <w:rPr>
                <w:rFonts w:ascii="Arial" w:eastAsia="Arial" w:hAnsi="Arial" w:cs="Arial"/>
                <w:color w:val="000000"/>
                <w:sz w:val="24"/>
                <w:szCs w:val="24"/>
              </w:rPr>
              <w:lastRenderedPageBreak/>
              <w:t>ensure continuity of the business processes and operations supported by the Services following any failure or disruption of any element of the Deliverables; and</w:t>
            </w:r>
          </w:p>
          <w:p w14:paraId="11040198" w14:textId="77777777" w:rsidR="001B2F3C" w:rsidRDefault="00C3671C">
            <w:pPr>
              <w:pBdr>
                <w:top w:val="nil"/>
                <w:left w:val="nil"/>
                <w:bottom w:val="nil"/>
                <w:right w:val="nil"/>
                <w:between w:val="nil"/>
              </w:pBdr>
              <w:tabs>
                <w:tab w:val="left" w:pos="1455"/>
              </w:tabs>
              <w:spacing w:before="120" w:after="120"/>
              <w:ind w:left="1440" w:hanging="693"/>
              <w:jc w:val="left"/>
              <w:rPr>
                <w:rFonts w:ascii="Arial" w:eastAsia="Arial" w:hAnsi="Arial" w:cs="Arial"/>
                <w:color w:val="000000"/>
                <w:sz w:val="24"/>
                <w:szCs w:val="24"/>
              </w:rPr>
            </w:pPr>
            <w:r>
              <w:rPr>
                <w:rFonts w:ascii="Arial" w:eastAsia="Arial" w:hAnsi="Arial" w:cs="Arial"/>
                <w:color w:val="000000"/>
                <w:sz w:val="24"/>
                <w:szCs w:val="24"/>
              </w:rPr>
              <w:t>(b)      the recovery of the Deliverables in the event of a Disaster;</w:t>
            </w:r>
          </w:p>
          <w:p w14:paraId="61BDE5DB" w14:textId="77777777" w:rsidR="001B2F3C" w:rsidRDefault="001B2F3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p>
        </w:tc>
      </w:tr>
      <w:tr w:rsidR="001B2F3C" w14:paraId="321905C2" w14:textId="77777777">
        <w:tc>
          <w:tcPr>
            <w:tcW w:w="3097" w:type="dxa"/>
          </w:tcPr>
          <w:p w14:paraId="0DEB7EF8"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lastRenderedPageBreak/>
              <w:t>"Business Continuity Plan"</w:t>
            </w:r>
          </w:p>
        </w:tc>
        <w:tc>
          <w:tcPr>
            <w:tcW w:w="5075" w:type="dxa"/>
          </w:tcPr>
          <w:p w14:paraId="1E72B867"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1.3.2 of Part B of this Schedule;</w:t>
            </w:r>
          </w:p>
        </w:tc>
      </w:tr>
      <w:tr w:rsidR="001B2F3C" w14:paraId="39A5777A" w14:textId="77777777">
        <w:tc>
          <w:tcPr>
            <w:tcW w:w="3097" w:type="dxa"/>
          </w:tcPr>
          <w:p w14:paraId="04FEC21D"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“Class 1 Transaction”</w:t>
            </w:r>
          </w:p>
        </w:tc>
        <w:tc>
          <w:tcPr>
            <w:tcW w:w="5075" w:type="dxa"/>
          </w:tcPr>
          <w:p w14:paraId="3C6995D2"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the listing rules issued by the UK Listing Authority;</w:t>
            </w:r>
          </w:p>
        </w:tc>
      </w:tr>
      <w:tr w:rsidR="001B2F3C" w14:paraId="67D76F01" w14:textId="77777777">
        <w:tc>
          <w:tcPr>
            <w:tcW w:w="3097" w:type="dxa"/>
          </w:tcPr>
          <w:p w14:paraId="1BE54329"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“Control”</w:t>
            </w:r>
          </w:p>
        </w:tc>
        <w:tc>
          <w:tcPr>
            <w:tcW w:w="5075" w:type="dxa"/>
          </w:tcPr>
          <w:p w14:paraId="454E4C71"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b/>
                <w:sz w:val="24"/>
                <w:szCs w:val="24"/>
              </w:rPr>
              <w:t>Controls</w:t>
            </w:r>
            <w:r>
              <w:rPr>
                <w:rFonts w:ascii="Arial" w:eastAsia="Arial" w:hAnsi="Arial" w:cs="Arial"/>
                <w:sz w:val="24"/>
                <w:szCs w:val="24"/>
              </w:rPr>
              <w:t>” and “</w:t>
            </w:r>
            <w:r>
              <w:rPr>
                <w:rFonts w:ascii="Arial" w:eastAsia="Arial" w:hAnsi="Arial" w:cs="Arial"/>
                <w:b/>
                <w:sz w:val="24"/>
                <w:szCs w:val="24"/>
              </w:rPr>
              <w:t>Controlled</w:t>
            </w:r>
            <w:r>
              <w:rPr>
                <w:rFonts w:ascii="Arial" w:eastAsia="Arial" w:hAnsi="Arial" w:cs="Arial"/>
                <w:sz w:val="24"/>
                <w:szCs w:val="24"/>
              </w:rPr>
              <w:t>” shall be interpreted accordingly;</w:t>
            </w:r>
          </w:p>
        </w:tc>
      </w:tr>
      <w:tr w:rsidR="001B2F3C" w14:paraId="08A20AEF" w14:textId="77777777">
        <w:tc>
          <w:tcPr>
            <w:tcW w:w="3097" w:type="dxa"/>
          </w:tcPr>
          <w:p w14:paraId="4ECA5F0A"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“Corporate Change Event”</w:t>
            </w:r>
          </w:p>
        </w:tc>
        <w:tc>
          <w:tcPr>
            <w:tcW w:w="5075" w:type="dxa"/>
          </w:tcPr>
          <w:p w14:paraId="44ACEF21" w14:textId="77777777" w:rsidR="001B2F3C" w:rsidRDefault="00C3671C">
            <w:pPr>
              <w:pBdr>
                <w:top w:val="nil"/>
                <w:left w:val="nil"/>
                <w:bottom w:val="nil"/>
                <w:right w:val="nil"/>
                <w:between w:val="nil"/>
              </w:pBdr>
              <w:spacing w:before="100"/>
              <w:ind w:left="0"/>
              <w:jc w:val="left"/>
              <w:rPr>
                <w:rFonts w:ascii="Arial" w:eastAsia="Arial" w:hAnsi="Arial" w:cs="Arial"/>
                <w:color w:val="000000"/>
                <w:sz w:val="24"/>
                <w:szCs w:val="24"/>
              </w:rPr>
            </w:pPr>
            <w:r>
              <w:rPr>
                <w:rFonts w:ascii="Arial" w:eastAsia="Arial" w:hAnsi="Arial" w:cs="Arial"/>
                <w:color w:val="000000"/>
                <w:sz w:val="24"/>
                <w:szCs w:val="24"/>
              </w:rPr>
              <w:t>means:</w:t>
            </w:r>
          </w:p>
          <w:p w14:paraId="395E9F6D"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any change of Control of the Supplier or a Parent Undertaking of the Supplier;</w:t>
            </w:r>
          </w:p>
          <w:p w14:paraId="7E16FBA6"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52C11474"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543A7770"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6204E099"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70293069"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lastRenderedPageBreak/>
              <w:t>payment of dividends by the Supplier or the ultimate Parent Undertaking of the Supplier Group exceeding 25% of the Net Asset Value of the Supplier or the ultimate Parent Undertaking of the Supplier Group respectively in any 12 month period;</w:t>
            </w:r>
          </w:p>
          <w:p w14:paraId="77331C62"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 xml:space="preserve">an order is made or an effective resolution is passed for the winding up of any member of the Supplier Group; </w:t>
            </w:r>
          </w:p>
          <w:p w14:paraId="7ED4DFB2"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4796B8DC" w14:textId="77777777" w:rsidR="001B2F3C" w:rsidRDefault="00C3671C">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7C3E99DF" w14:textId="77777777" w:rsidR="001B2F3C" w:rsidRDefault="00C3671C">
            <w:pPr>
              <w:numPr>
                <w:ilvl w:val="4"/>
                <w:numId w:val="5"/>
              </w:numPr>
              <w:pBdr>
                <w:top w:val="nil"/>
                <w:left w:val="nil"/>
                <w:bottom w:val="nil"/>
                <w:right w:val="nil"/>
                <w:between w:val="nil"/>
              </w:pBdr>
              <w:spacing w:after="240"/>
              <w:ind w:left="605" w:hanging="567"/>
              <w:rPr>
                <w:rFonts w:ascii="Arial" w:eastAsia="Arial" w:hAnsi="Arial" w:cs="Arial"/>
                <w:color w:val="000000"/>
                <w:sz w:val="24"/>
                <w:szCs w:val="24"/>
              </w:rPr>
            </w:pPr>
            <w:r>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1B2F3C" w14:paraId="6E419A47" w14:textId="77777777">
        <w:tc>
          <w:tcPr>
            <w:tcW w:w="3097" w:type="dxa"/>
          </w:tcPr>
          <w:p w14:paraId="4B8A1D4F"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“Critical National Infrastructure”</w:t>
            </w:r>
          </w:p>
        </w:tc>
        <w:tc>
          <w:tcPr>
            <w:tcW w:w="5075" w:type="dxa"/>
          </w:tcPr>
          <w:p w14:paraId="0C93392B" w14:textId="77777777" w:rsidR="001B2F3C" w:rsidRDefault="00C3671C">
            <w:pPr>
              <w:pBdr>
                <w:top w:val="nil"/>
                <w:left w:val="nil"/>
                <w:bottom w:val="nil"/>
                <w:right w:val="nil"/>
                <w:between w:val="nil"/>
              </w:pBdr>
              <w:ind w:left="0"/>
              <w:rPr>
                <w:rFonts w:ascii="Arial" w:eastAsia="Arial" w:hAnsi="Arial" w:cs="Arial"/>
                <w:color w:val="000000"/>
                <w:sz w:val="24"/>
                <w:szCs w:val="24"/>
              </w:rPr>
            </w:pPr>
            <w:r>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0704D575" w14:textId="77777777" w:rsidR="001B2F3C" w:rsidRDefault="00C3671C">
            <w:pPr>
              <w:numPr>
                <w:ilvl w:val="4"/>
                <w:numId w:val="7"/>
              </w:numPr>
              <w:pBdr>
                <w:top w:val="nil"/>
                <w:left w:val="nil"/>
                <w:bottom w:val="nil"/>
                <w:right w:val="nil"/>
                <w:between w:val="nil"/>
              </w:pBdr>
              <w:ind w:left="596" w:hanging="567"/>
              <w:rPr>
                <w:rFonts w:ascii="Arial" w:eastAsia="Arial" w:hAnsi="Arial" w:cs="Arial"/>
                <w:color w:val="000000"/>
                <w:sz w:val="24"/>
                <w:szCs w:val="24"/>
              </w:rPr>
            </w:pPr>
            <w:r>
              <w:rPr>
                <w:rFonts w:ascii="Arial" w:eastAsia="Arial" w:hAnsi="Arial" w:cs="Arial"/>
                <w:color w:val="000000"/>
                <w:sz w:val="24"/>
                <w:szCs w:val="24"/>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5F7D8AC5" w14:textId="77777777" w:rsidR="001B2F3C" w:rsidRDefault="00C3671C">
            <w:pPr>
              <w:numPr>
                <w:ilvl w:val="4"/>
                <w:numId w:val="7"/>
              </w:numPr>
              <w:pBdr>
                <w:top w:val="nil"/>
                <w:left w:val="nil"/>
                <w:bottom w:val="nil"/>
                <w:right w:val="nil"/>
                <w:between w:val="nil"/>
              </w:pBdr>
              <w:spacing w:after="240"/>
              <w:ind w:left="605" w:hanging="567"/>
              <w:rPr>
                <w:rFonts w:ascii="Arial" w:eastAsia="Arial" w:hAnsi="Arial" w:cs="Arial"/>
                <w:color w:val="000000"/>
                <w:sz w:val="24"/>
                <w:szCs w:val="24"/>
              </w:rPr>
            </w:pPr>
            <w:r>
              <w:rPr>
                <w:rFonts w:ascii="Arial" w:eastAsia="Arial" w:hAnsi="Arial" w:cs="Arial"/>
                <w:color w:val="000000"/>
                <w:sz w:val="24"/>
                <w:szCs w:val="24"/>
              </w:rPr>
              <w:lastRenderedPageBreak/>
              <w:t>significant impact on the national security, national defence, or the functioning of the UK;</w:t>
            </w:r>
          </w:p>
        </w:tc>
      </w:tr>
      <w:tr w:rsidR="001B2F3C" w14:paraId="7A43C5B0" w14:textId="77777777">
        <w:tc>
          <w:tcPr>
            <w:tcW w:w="3097" w:type="dxa"/>
          </w:tcPr>
          <w:p w14:paraId="65C89984"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“Critical Service Contract”</w:t>
            </w:r>
          </w:p>
        </w:tc>
        <w:tc>
          <w:tcPr>
            <w:tcW w:w="5075" w:type="dxa"/>
          </w:tcPr>
          <w:p w14:paraId="5BB64361"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 xml:space="preserve">a service contract which the Buyer has categorised as a Gold Contract </w:t>
            </w:r>
            <w:r>
              <w:rPr>
                <w:rFonts w:ascii="Arial" w:eastAsia="Arial" w:hAnsi="Arial" w:cs="Arial"/>
                <w:color w:val="000000"/>
                <w:sz w:val="24"/>
                <w:szCs w:val="24"/>
              </w:rPr>
              <w:t>using the Cabinet Office Contract Tiering Tool</w:t>
            </w:r>
            <w:r>
              <w:rPr>
                <w:rFonts w:ascii="Arial" w:eastAsia="Arial" w:hAnsi="Arial" w:cs="Arial"/>
                <w:sz w:val="24"/>
                <w:szCs w:val="24"/>
              </w:rPr>
              <w:t xml:space="preserve"> or which the Buyer otherwise considers should be classed as a Critical Service Contract;</w:t>
            </w:r>
          </w:p>
        </w:tc>
      </w:tr>
      <w:tr w:rsidR="001B2F3C" w14:paraId="3184BC4C" w14:textId="77777777">
        <w:tc>
          <w:tcPr>
            <w:tcW w:w="3097" w:type="dxa"/>
          </w:tcPr>
          <w:p w14:paraId="1503EEE5"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“CRP Information”</w:t>
            </w:r>
          </w:p>
        </w:tc>
        <w:tc>
          <w:tcPr>
            <w:tcW w:w="5075" w:type="dxa"/>
          </w:tcPr>
          <w:p w14:paraId="52F087B4" w14:textId="77777777" w:rsidR="001B2F3C" w:rsidRDefault="00C3671C">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together, the:</w:t>
            </w:r>
          </w:p>
          <w:p w14:paraId="7092ED4A" w14:textId="77777777" w:rsidR="001B2F3C" w:rsidRDefault="00C3671C">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Group Structure Information and Resolution Commentary; and</w:t>
            </w:r>
          </w:p>
          <w:p w14:paraId="4FA6151C"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UK Public Sector and CNI Contract Information;</w:t>
            </w:r>
          </w:p>
        </w:tc>
      </w:tr>
      <w:tr w:rsidR="001B2F3C" w14:paraId="5337DE06" w14:textId="77777777">
        <w:tc>
          <w:tcPr>
            <w:tcW w:w="3097" w:type="dxa"/>
          </w:tcPr>
          <w:p w14:paraId="4C388361"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“Dependent Parent Undertaking”</w:t>
            </w:r>
          </w:p>
        </w:tc>
        <w:tc>
          <w:tcPr>
            <w:tcW w:w="5075" w:type="dxa"/>
          </w:tcPr>
          <w:p w14:paraId="2F14FCED"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1B2F3C" w14:paraId="29727D0D" w14:textId="77777777">
        <w:tc>
          <w:tcPr>
            <w:tcW w:w="3097" w:type="dxa"/>
          </w:tcPr>
          <w:p w14:paraId="214D626D"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w:t>
            </w:r>
          </w:p>
        </w:tc>
        <w:tc>
          <w:tcPr>
            <w:tcW w:w="5075" w:type="dxa"/>
          </w:tcPr>
          <w:p w14:paraId="30C5A5B2"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1B2F3C" w14:paraId="12288821" w14:textId="77777777">
        <w:tc>
          <w:tcPr>
            <w:tcW w:w="3097" w:type="dxa"/>
          </w:tcPr>
          <w:p w14:paraId="283417F7"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 Recovery Deliverables"</w:t>
            </w:r>
          </w:p>
        </w:tc>
        <w:tc>
          <w:tcPr>
            <w:tcW w:w="5075" w:type="dxa"/>
          </w:tcPr>
          <w:p w14:paraId="71883A11" w14:textId="77777777" w:rsidR="001B2F3C" w:rsidRDefault="00C3671C">
            <w:pPr>
              <w:pBdr>
                <w:top w:val="nil"/>
                <w:left w:val="nil"/>
                <w:bottom w:val="nil"/>
                <w:right w:val="nil"/>
                <w:between w:val="nil"/>
              </w:pBdr>
              <w:tabs>
                <w:tab w:val="left" w:pos="-9"/>
                <w:tab w:val="left" w:pos="-179"/>
              </w:tabs>
              <w:spacing w:after="120"/>
              <w:ind w:left="0"/>
              <w:jc w:val="left"/>
              <w:rPr>
                <w:rFonts w:ascii="Arial" w:eastAsia="Arial" w:hAnsi="Arial" w:cs="Arial"/>
                <w:color w:val="000000"/>
                <w:sz w:val="24"/>
                <w:szCs w:val="24"/>
              </w:rPr>
            </w:pPr>
            <w:r>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1B2F3C" w14:paraId="0BAAE30F" w14:textId="77777777">
        <w:tc>
          <w:tcPr>
            <w:tcW w:w="3097" w:type="dxa"/>
          </w:tcPr>
          <w:p w14:paraId="37FB0778"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 Recovery Plan"</w:t>
            </w:r>
          </w:p>
        </w:tc>
        <w:tc>
          <w:tcPr>
            <w:tcW w:w="5075" w:type="dxa"/>
          </w:tcPr>
          <w:p w14:paraId="345A6A40"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sz w:val="24"/>
                <w:szCs w:val="24"/>
              </w:rPr>
              <w:t>1.3.3 of</w:t>
            </w:r>
            <w:r>
              <w:rPr>
                <w:rFonts w:ascii="Arial" w:eastAsia="Arial" w:hAnsi="Arial" w:cs="Arial"/>
                <w:color w:val="000000"/>
                <w:sz w:val="24"/>
                <w:szCs w:val="24"/>
              </w:rPr>
              <w:t xml:space="preserve"> Part B of this Schedule;</w:t>
            </w:r>
          </w:p>
        </w:tc>
      </w:tr>
      <w:tr w:rsidR="001B2F3C" w14:paraId="4C97E7A8" w14:textId="77777777">
        <w:tc>
          <w:tcPr>
            <w:tcW w:w="3097" w:type="dxa"/>
          </w:tcPr>
          <w:p w14:paraId="35D566B4"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 Recovery System"</w:t>
            </w:r>
          </w:p>
        </w:tc>
        <w:tc>
          <w:tcPr>
            <w:tcW w:w="5075" w:type="dxa"/>
          </w:tcPr>
          <w:p w14:paraId="56D1E054"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the system embodied in the processes and procedures for restoring the provision of Deliverables following the occurrence of a Disaster;</w:t>
            </w:r>
          </w:p>
        </w:tc>
      </w:tr>
      <w:tr w:rsidR="001B2F3C" w14:paraId="70A1D46F" w14:textId="77777777">
        <w:tc>
          <w:tcPr>
            <w:tcW w:w="3097" w:type="dxa"/>
          </w:tcPr>
          <w:p w14:paraId="7A9EFC82"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“Group Structure Information and Resolution Commentary”</w:t>
            </w:r>
          </w:p>
        </w:tc>
        <w:tc>
          <w:tcPr>
            <w:tcW w:w="5075" w:type="dxa"/>
          </w:tcPr>
          <w:p w14:paraId="4049F752"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1 to Part C;</w:t>
            </w:r>
          </w:p>
        </w:tc>
      </w:tr>
      <w:tr w:rsidR="001B2F3C" w14:paraId="497280E9" w14:textId="77777777">
        <w:tc>
          <w:tcPr>
            <w:tcW w:w="3097" w:type="dxa"/>
          </w:tcPr>
          <w:p w14:paraId="0B5FA9C1"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“Parent Undertaking”</w:t>
            </w:r>
          </w:p>
        </w:tc>
        <w:tc>
          <w:tcPr>
            <w:tcW w:w="5075" w:type="dxa"/>
          </w:tcPr>
          <w:p w14:paraId="6FFFF54D"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1B2F3C" w14:paraId="2CF2037C" w14:textId="77777777">
        <w:tc>
          <w:tcPr>
            <w:tcW w:w="3097" w:type="dxa"/>
          </w:tcPr>
          <w:p w14:paraId="48C840E3"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“Public Sector Dependent Supplier”</w:t>
            </w:r>
          </w:p>
        </w:tc>
        <w:tc>
          <w:tcPr>
            <w:tcW w:w="5075" w:type="dxa"/>
          </w:tcPr>
          <w:p w14:paraId="456E20ED"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1B2F3C" w14:paraId="4629E04B" w14:textId="77777777">
        <w:trPr>
          <w:trHeight w:val="567"/>
        </w:trPr>
        <w:tc>
          <w:tcPr>
            <w:tcW w:w="3097" w:type="dxa"/>
          </w:tcPr>
          <w:p w14:paraId="5B7C684A"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"Related Supplier"</w:t>
            </w:r>
          </w:p>
        </w:tc>
        <w:tc>
          <w:tcPr>
            <w:tcW w:w="5075" w:type="dxa"/>
          </w:tcPr>
          <w:p w14:paraId="4EB9BA38"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any person who provides Deliverables to the Buyer which are related to the Deliverables from time to time;</w:t>
            </w:r>
          </w:p>
        </w:tc>
      </w:tr>
      <w:tr w:rsidR="001B2F3C" w14:paraId="6F77601C" w14:textId="77777777">
        <w:trPr>
          <w:trHeight w:val="567"/>
        </w:trPr>
        <w:tc>
          <w:tcPr>
            <w:tcW w:w="3097" w:type="dxa"/>
          </w:tcPr>
          <w:p w14:paraId="4F8E70F1"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"Review Report"</w:t>
            </w:r>
          </w:p>
        </w:tc>
        <w:tc>
          <w:tcPr>
            <w:tcW w:w="5075" w:type="dxa"/>
          </w:tcPr>
          <w:p w14:paraId="268FA345"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6.3 of Part B of this Schedule; and</w:t>
            </w:r>
          </w:p>
        </w:tc>
      </w:tr>
      <w:tr w:rsidR="001B2F3C" w14:paraId="79ECADC8" w14:textId="77777777">
        <w:trPr>
          <w:trHeight w:val="567"/>
        </w:trPr>
        <w:tc>
          <w:tcPr>
            <w:tcW w:w="3097" w:type="dxa"/>
          </w:tcPr>
          <w:p w14:paraId="51AF0E67"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“Standard BCDR Plan”</w:t>
            </w:r>
          </w:p>
        </w:tc>
        <w:tc>
          <w:tcPr>
            <w:tcW w:w="5075" w:type="dxa"/>
          </w:tcPr>
          <w:p w14:paraId="43C8658D"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sz w:val="24"/>
                <w:szCs w:val="24"/>
              </w:rPr>
            </w:pPr>
            <w:r>
              <w:rPr>
                <w:rFonts w:ascii="Arial" w:eastAsia="Arial" w:hAnsi="Arial" w:cs="Arial"/>
                <w:color w:val="000000"/>
                <w:sz w:val="24"/>
                <w:szCs w:val="24"/>
              </w:rPr>
              <w:t>means the Supplier’s standard BCDR Plan;</w:t>
            </w:r>
          </w:p>
        </w:tc>
      </w:tr>
      <w:tr w:rsidR="001B2F3C" w14:paraId="7480FB23" w14:textId="77777777">
        <w:trPr>
          <w:trHeight w:val="567"/>
        </w:trPr>
        <w:tc>
          <w:tcPr>
            <w:tcW w:w="3097" w:type="dxa"/>
          </w:tcPr>
          <w:p w14:paraId="07D3D083"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“Strategic Supplier”</w:t>
            </w:r>
          </w:p>
        </w:tc>
        <w:tc>
          <w:tcPr>
            <w:tcW w:w="5075" w:type="dxa"/>
          </w:tcPr>
          <w:p w14:paraId="63F2F8FF" w14:textId="77777777" w:rsidR="001B2F3C" w:rsidRDefault="00C3671C">
            <w:pPr>
              <w:ind w:left="0"/>
              <w:jc w:val="left"/>
              <w:rPr>
                <w:rFonts w:ascii="Arial" w:eastAsia="Arial" w:hAnsi="Arial" w:cs="Arial"/>
                <w:sz w:val="24"/>
                <w:szCs w:val="24"/>
              </w:rPr>
            </w:pPr>
            <w:r>
              <w:rPr>
                <w:rFonts w:ascii="Arial" w:eastAsia="Arial" w:hAnsi="Arial" w:cs="Arial"/>
                <w:sz w:val="24"/>
                <w:szCs w:val="24"/>
              </w:rPr>
              <w:t>means those suppliers to government listed at</w:t>
            </w:r>
          </w:p>
          <w:p w14:paraId="7B472C72"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https://www.gov.uk/government/publications/strategic-suppliers;</w:t>
            </w:r>
          </w:p>
        </w:tc>
      </w:tr>
      <w:tr w:rsidR="001B2F3C" w14:paraId="708B509D" w14:textId="77777777">
        <w:trPr>
          <w:trHeight w:val="567"/>
        </w:trPr>
        <w:tc>
          <w:tcPr>
            <w:tcW w:w="3097" w:type="dxa"/>
          </w:tcPr>
          <w:p w14:paraId="132F52F2"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“Subsidiary Undertaking”</w:t>
            </w:r>
          </w:p>
        </w:tc>
        <w:tc>
          <w:tcPr>
            <w:tcW w:w="5075" w:type="dxa"/>
          </w:tcPr>
          <w:p w14:paraId="198DD0AE"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1B2F3C" w14:paraId="0C8CEC7D" w14:textId="77777777">
        <w:trPr>
          <w:trHeight w:val="567"/>
        </w:trPr>
        <w:tc>
          <w:tcPr>
            <w:tcW w:w="3097" w:type="dxa"/>
          </w:tcPr>
          <w:p w14:paraId="2BA09A16"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“Supplier Group”</w:t>
            </w:r>
          </w:p>
        </w:tc>
        <w:tc>
          <w:tcPr>
            <w:tcW w:w="5075" w:type="dxa"/>
          </w:tcPr>
          <w:p w14:paraId="4B440BFE"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Supplier, its Dependent Parent Undertakings and all Subsidiary Undertakings and Associates of such Dependent Parent Undertakings;</w:t>
            </w:r>
          </w:p>
        </w:tc>
      </w:tr>
      <w:tr w:rsidR="001B2F3C" w14:paraId="3E5D8A4B" w14:textId="77777777">
        <w:tc>
          <w:tcPr>
            <w:tcW w:w="3097" w:type="dxa"/>
          </w:tcPr>
          <w:p w14:paraId="15592964"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"Supplier's Proposals"</w:t>
            </w:r>
          </w:p>
        </w:tc>
        <w:tc>
          <w:tcPr>
            <w:tcW w:w="5075" w:type="dxa"/>
          </w:tcPr>
          <w:p w14:paraId="18959ABA"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6.3 of Part B of this Schedule;</w:t>
            </w:r>
          </w:p>
        </w:tc>
      </w:tr>
      <w:tr w:rsidR="001B2F3C" w14:paraId="3DB42307" w14:textId="77777777">
        <w:tc>
          <w:tcPr>
            <w:tcW w:w="3097" w:type="dxa"/>
          </w:tcPr>
          <w:p w14:paraId="258F25FB"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Business”</w:t>
            </w:r>
          </w:p>
        </w:tc>
        <w:tc>
          <w:tcPr>
            <w:tcW w:w="5075" w:type="dxa"/>
          </w:tcPr>
          <w:p w14:paraId="7FB0D3A3"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1B2F3C" w14:paraId="72842502" w14:textId="77777777">
        <w:tc>
          <w:tcPr>
            <w:tcW w:w="3097" w:type="dxa"/>
          </w:tcPr>
          <w:p w14:paraId="42B0A579" w14:textId="77777777" w:rsidR="001B2F3C" w:rsidRDefault="00C3671C">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 CNI Contract Information”</w:t>
            </w:r>
          </w:p>
        </w:tc>
        <w:tc>
          <w:tcPr>
            <w:tcW w:w="5075" w:type="dxa"/>
          </w:tcPr>
          <w:p w14:paraId="0DC8FC4F" w14:textId="77777777" w:rsidR="001B2F3C" w:rsidRDefault="00C3671C">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of Part C and Appendix 2 of Part C;</w:t>
            </w:r>
          </w:p>
        </w:tc>
      </w:tr>
    </w:tbl>
    <w:p w14:paraId="528CB46A" w14:textId="77777777" w:rsidR="001B2F3C" w:rsidRDefault="00C3671C">
      <w:pPr>
        <w:pBdr>
          <w:top w:val="nil"/>
          <w:left w:val="nil"/>
          <w:bottom w:val="nil"/>
          <w:right w:val="nil"/>
          <w:between w:val="nil"/>
        </w:pBdr>
        <w:spacing w:before="120" w:after="120"/>
        <w:ind w:left="0"/>
        <w:jc w:val="left"/>
        <w:rPr>
          <w:b/>
          <w:sz w:val="32"/>
          <w:szCs w:val="32"/>
        </w:rPr>
      </w:pPr>
      <w:r>
        <w:rPr>
          <w:b/>
          <w:sz w:val="32"/>
          <w:szCs w:val="32"/>
        </w:rPr>
        <w:t xml:space="preserve">Part A: </w:t>
      </w:r>
      <w:r>
        <w:rPr>
          <w:b/>
          <w:color w:val="000000"/>
          <w:sz w:val="32"/>
          <w:szCs w:val="32"/>
        </w:rPr>
        <w:t>BCDR</w:t>
      </w:r>
      <w:r>
        <w:rPr>
          <w:b/>
          <w:sz w:val="32"/>
          <w:szCs w:val="32"/>
        </w:rPr>
        <w:t xml:space="preserve"> Plan – Short Form</w:t>
      </w:r>
    </w:p>
    <w:p w14:paraId="7AF2158E" w14:textId="77777777" w:rsidR="001B2F3C" w:rsidRDefault="00C3671C">
      <w:pPr>
        <w:pBdr>
          <w:top w:val="nil"/>
          <w:left w:val="nil"/>
          <w:bottom w:val="nil"/>
          <w:right w:val="nil"/>
          <w:between w:val="nil"/>
        </w:pBdr>
        <w:spacing w:before="120" w:after="120"/>
        <w:ind w:left="0"/>
        <w:jc w:val="left"/>
        <w:rPr>
          <w:sz w:val="24"/>
          <w:szCs w:val="24"/>
        </w:rPr>
      </w:pPr>
      <w:r>
        <w:rPr>
          <w:sz w:val="24"/>
          <w:szCs w:val="24"/>
        </w:rPr>
        <w:lastRenderedPageBreak/>
        <w:t>Unless otherwise specified in this Schedule, this Part A shall apply only to Call-Off Contracts which have been awarded via Direct Award in accordance with Framework Schedule 7 (Call-Off Contract Award Procedure).</w:t>
      </w:r>
    </w:p>
    <w:p w14:paraId="3431DAA1" w14:textId="77777777" w:rsidR="001B2F3C" w:rsidRDefault="00C3671C">
      <w:pPr>
        <w:pBdr>
          <w:top w:val="nil"/>
          <w:left w:val="nil"/>
          <w:bottom w:val="nil"/>
          <w:right w:val="nil"/>
          <w:between w:val="nil"/>
        </w:pBdr>
        <w:spacing w:before="120" w:after="120"/>
        <w:ind w:left="0"/>
        <w:jc w:val="left"/>
        <w:rPr>
          <w:sz w:val="24"/>
          <w:szCs w:val="24"/>
        </w:rPr>
      </w:pPr>
      <w:r>
        <w:rPr>
          <w:sz w:val="24"/>
          <w:szCs w:val="24"/>
        </w:rPr>
        <w:t>[</w:t>
      </w:r>
      <w:r>
        <w:rPr>
          <w:b/>
          <w:sz w:val="24"/>
          <w:szCs w:val="24"/>
          <w:highlight w:val="yellow"/>
        </w:rPr>
        <w:t>Buyer Guidance:</w:t>
      </w:r>
      <w:r>
        <w:rPr>
          <w:b/>
          <w:sz w:val="24"/>
          <w:szCs w:val="24"/>
        </w:rPr>
        <w:t xml:space="preserve"> </w:t>
      </w:r>
      <w:r>
        <w:rPr>
          <w:sz w:val="24"/>
          <w:szCs w:val="24"/>
        </w:rPr>
        <w:t>This Part A should not be deleted from any Call-Off Contracts as it interacts with Part B in certain circumstances].</w:t>
      </w:r>
    </w:p>
    <w:p w14:paraId="779D17A5" w14:textId="77777777" w:rsidR="001B2F3C" w:rsidRDefault="00C3671C">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smallCaps/>
          <w:color w:val="000000"/>
          <w:sz w:val="24"/>
          <w:szCs w:val="24"/>
        </w:rPr>
      </w:pPr>
      <w:r>
        <w:rPr>
          <w:rFonts w:ascii="Arial Bold" w:eastAsia="Arial Bold" w:hAnsi="Arial Bold" w:cs="Arial Bold"/>
          <w:b/>
          <w:smallCaps/>
          <w:color w:val="000000"/>
          <w:sz w:val="24"/>
          <w:szCs w:val="24"/>
        </w:rPr>
        <w:t>BCDR Plan</w:t>
      </w:r>
    </w:p>
    <w:p w14:paraId="60A107E1" w14:textId="77777777" w:rsidR="001B2F3C" w:rsidRDefault="00C3671C">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1CB83528" w14:textId="77777777" w:rsidR="001B2F3C" w:rsidRDefault="00C3671C">
      <w:pPr>
        <w:numPr>
          <w:ilvl w:val="1"/>
          <w:numId w:val="1"/>
        </w:numPr>
        <w:pBdr>
          <w:top w:val="nil"/>
          <w:left w:val="nil"/>
          <w:bottom w:val="nil"/>
          <w:right w:val="nil"/>
          <w:between w:val="nil"/>
        </w:pBdr>
        <w:spacing w:before="120" w:after="120"/>
        <w:jc w:val="left"/>
        <w:rPr>
          <w:sz w:val="24"/>
          <w:szCs w:val="24"/>
        </w:rPr>
      </w:pPr>
      <w:r>
        <w:rPr>
          <w:color w:val="000000"/>
          <w:sz w:val="24"/>
          <w:szCs w:val="24"/>
        </w:rPr>
        <w:t>Promptly (and in any event within 30 days) after the Start Date,</w:t>
      </w:r>
      <w:r>
        <w:rPr>
          <w:sz w:val="24"/>
          <w:szCs w:val="24"/>
        </w:rPr>
        <w:t xml:space="preserve"> the Supplier shall provide to the Buyer </w:t>
      </w:r>
      <w:r>
        <w:rPr>
          <w:color w:val="000000"/>
          <w:sz w:val="24"/>
          <w:szCs w:val="24"/>
        </w:rPr>
        <w:t>its Standard BCDR Plan.</w:t>
      </w:r>
    </w:p>
    <w:p w14:paraId="61DC0104" w14:textId="77777777" w:rsidR="001B2F3C" w:rsidRDefault="00C3671C">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ensure at all times that its Standard BCDR Plan conforms with Good Industry Practice.</w:t>
      </w:r>
    </w:p>
    <w:p w14:paraId="501FED37" w14:textId="77777777" w:rsidR="001B2F3C" w:rsidRDefault="00C3671C">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may from time to time during the Contract Period review, update, and/or test its Standard BCDR Plan. The Supplier shall ensure that any use by it or any Subcontractor of "live" Buyer Data in such testing is first approved with the Buyer. Copies of live test data used in any such testing shall be (if so required by the Buyer) destroyed or returned to the Buyer on completion of the test.</w:t>
      </w:r>
    </w:p>
    <w:p w14:paraId="73DC2CFF" w14:textId="77777777" w:rsidR="001B2F3C" w:rsidRDefault="00C3671C">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within twenty (20) Working Days of the conclusion of each test of its Standard BCDR Plan, provide to the Buyer a report setting out:</w:t>
      </w:r>
    </w:p>
    <w:p w14:paraId="60B7208E" w14:textId="77777777" w:rsidR="001B2F3C" w:rsidRDefault="00C3671C">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outcome of the test;</w:t>
      </w:r>
    </w:p>
    <w:p w14:paraId="6C68D368" w14:textId="77777777" w:rsidR="001B2F3C" w:rsidRDefault="00C3671C">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any failures in the Standard BCDR Plan (including the Standard BCDR Plan's procedures) revealed by the test; and</w:t>
      </w:r>
    </w:p>
    <w:p w14:paraId="0C83253C" w14:textId="77777777" w:rsidR="001B2F3C" w:rsidRDefault="00C3671C">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Supplier's proposals for remedying any such failures.</w:t>
      </w:r>
    </w:p>
    <w:p w14:paraId="1E382A5E" w14:textId="77777777" w:rsidR="001B2F3C" w:rsidRDefault="00C3671C">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In the event of a complete loss of service or in the event of a Disaster, the Supplier shall immediately invoke its Standard BCDR Plan (and shall inform the Buyer promptly of such invocation). In all other instances the Supplier shall invoke or test the Standard BCDR Plan only with the prior consent of the Buyer.</w:t>
      </w:r>
    </w:p>
    <w:p w14:paraId="6BBE1B22" w14:textId="77777777" w:rsidR="001B2F3C" w:rsidRDefault="00C3671C">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 xml:space="preserve">To the extent the Standard BCDR Plan contains processes, procedures, and/or other content which is designed to permit the </w:t>
      </w:r>
      <w:r>
        <w:rPr>
          <w:sz w:val="24"/>
          <w:szCs w:val="24"/>
        </w:rPr>
        <w:t>continuity of the business operations of the Buyer supported by the Deliverables through continued provision of the Deliverables following an Insolvency Event of the Supplier, any Key Sub-contractor and/or any Supplier</w:t>
      </w:r>
      <w:r>
        <w:rPr>
          <w:color w:val="000000"/>
          <w:sz w:val="24"/>
          <w:szCs w:val="24"/>
        </w:rPr>
        <w:t>, the Standard BCDR Plan shall be invoked by the Supplier:</w:t>
      </w:r>
    </w:p>
    <w:p w14:paraId="7723D006" w14:textId="77777777" w:rsidR="001B2F3C" w:rsidRDefault="00C3671C">
      <w:pPr>
        <w:pBdr>
          <w:top w:val="nil"/>
          <w:left w:val="nil"/>
          <w:bottom w:val="nil"/>
          <w:right w:val="nil"/>
          <w:between w:val="nil"/>
        </w:pBdr>
        <w:tabs>
          <w:tab w:val="left" w:pos="1985"/>
          <w:tab w:val="left" w:pos="2127"/>
        </w:tabs>
        <w:spacing w:before="120" w:after="120"/>
        <w:ind w:left="1656"/>
        <w:rPr>
          <w:rFonts w:eastAsia="Arial"/>
          <w:color w:val="000000"/>
          <w:sz w:val="24"/>
          <w:szCs w:val="24"/>
        </w:rPr>
      </w:pPr>
      <w:bookmarkStart w:id="3" w:name="_heading=h.3whwml4" w:colFirst="0" w:colLast="0"/>
      <w:bookmarkEnd w:id="3"/>
      <w:r>
        <w:rPr>
          <w:rFonts w:eastAsia="Arial"/>
          <w:color w:val="000000"/>
          <w:sz w:val="24"/>
          <w:szCs w:val="24"/>
        </w:rPr>
        <w:t>where an Insolvency Event of a Key Sub-contractor and/or Supplier Group member (other than the Supplier) could reasonably be expected to adversely affect delivery of the Deliverables; and/or</w:t>
      </w:r>
    </w:p>
    <w:p w14:paraId="33F06CF1" w14:textId="77777777" w:rsidR="001B2F3C" w:rsidRDefault="00C3671C">
      <w:pPr>
        <w:pBdr>
          <w:top w:val="nil"/>
          <w:left w:val="nil"/>
          <w:bottom w:val="nil"/>
          <w:right w:val="nil"/>
          <w:between w:val="nil"/>
        </w:pBdr>
        <w:tabs>
          <w:tab w:val="left" w:pos="1985"/>
          <w:tab w:val="left" w:pos="2127"/>
        </w:tabs>
        <w:spacing w:before="120" w:after="120"/>
        <w:ind w:left="1656"/>
        <w:rPr>
          <w:rFonts w:eastAsia="Arial"/>
          <w:color w:val="000000"/>
          <w:sz w:val="24"/>
          <w:szCs w:val="24"/>
        </w:rPr>
      </w:pPr>
      <w:r>
        <w:rPr>
          <w:rFonts w:eastAsia="Arial"/>
          <w:color w:val="000000"/>
          <w:sz w:val="24"/>
          <w:szCs w:val="24"/>
        </w:rPr>
        <w:t>where there is an Insolvency Event of the Supplier and the insolvency arrangements enable the Supplier to invoke the plan.</w:t>
      </w:r>
    </w:p>
    <w:p w14:paraId="29902FA5" w14:textId="77777777" w:rsidR="001B2F3C" w:rsidRDefault="001B2F3C">
      <w:pPr>
        <w:ind w:left="0"/>
      </w:pPr>
    </w:p>
    <w:p w14:paraId="1B809B78" w14:textId="77777777" w:rsidR="001B2F3C" w:rsidRDefault="00C3671C">
      <w:pPr>
        <w:pBdr>
          <w:top w:val="nil"/>
          <w:left w:val="nil"/>
          <w:bottom w:val="nil"/>
          <w:right w:val="nil"/>
          <w:between w:val="nil"/>
        </w:pBdr>
        <w:spacing w:before="120" w:after="120"/>
        <w:ind w:left="0"/>
        <w:jc w:val="left"/>
        <w:rPr>
          <w:b/>
          <w:sz w:val="32"/>
          <w:szCs w:val="32"/>
        </w:rPr>
      </w:pPr>
      <w:r>
        <w:rPr>
          <w:b/>
          <w:sz w:val="32"/>
          <w:szCs w:val="32"/>
        </w:rPr>
        <w:t xml:space="preserve">Part B: BCDR Plan – Long Form </w:t>
      </w:r>
    </w:p>
    <w:p w14:paraId="2FD90BDC" w14:textId="77777777" w:rsidR="001B2F3C" w:rsidRDefault="00C3671C">
      <w:pPr>
        <w:pBdr>
          <w:top w:val="nil"/>
          <w:left w:val="nil"/>
          <w:bottom w:val="nil"/>
          <w:right w:val="nil"/>
          <w:between w:val="nil"/>
        </w:pBdr>
        <w:spacing w:before="120" w:after="120"/>
        <w:ind w:left="0"/>
        <w:jc w:val="left"/>
        <w:rPr>
          <w:sz w:val="24"/>
          <w:szCs w:val="24"/>
        </w:rPr>
      </w:pPr>
      <w:r>
        <w:rPr>
          <w:sz w:val="24"/>
          <w:szCs w:val="24"/>
        </w:rPr>
        <w:t xml:space="preserve">This Part B shall apply to all Call-Off Contracts which have been awarded via a Further Competition procedure in accordance with Framework Schedule 7 (Call-Off Contract Award Procedure) and shall not apply to any Call-Off Contracts awarded via Direct Award. </w:t>
      </w:r>
    </w:p>
    <w:p w14:paraId="34A8B26A" w14:textId="77777777" w:rsidR="001B2F3C" w:rsidRDefault="00C3671C">
      <w:pPr>
        <w:pBdr>
          <w:top w:val="nil"/>
          <w:left w:val="nil"/>
          <w:bottom w:val="nil"/>
          <w:right w:val="nil"/>
          <w:between w:val="nil"/>
        </w:pBdr>
        <w:spacing w:before="120" w:after="120"/>
        <w:ind w:left="0"/>
        <w:jc w:val="left"/>
        <w:rPr>
          <w:smallCaps/>
          <w:color w:val="000000"/>
          <w:sz w:val="24"/>
          <w:szCs w:val="24"/>
        </w:rPr>
      </w:pPr>
      <w:r>
        <w:rPr>
          <w:sz w:val="24"/>
          <w:szCs w:val="24"/>
        </w:rPr>
        <w:t>[</w:t>
      </w:r>
      <w:r>
        <w:rPr>
          <w:b/>
          <w:sz w:val="24"/>
          <w:szCs w:val="24"/>
          <w:highlight w:val="yellow"/>
        </w:rPr>
        <w:t>Buyer Guidance:</w:t>
      </w:r>
      <w:r>
        <w:rPr>
          <w:b/>
          <w:sz w:val="24"/>
          <w:szCs w:val="24"/>
        </w:rPr>
        <w:t xml:space="preserve"> </w:t>
      </w:r>
      <w:r>
        <w:rPr>
          <w:sz w:val="24"/>
          <w:szCs w:val="24"/>
        </w:rPr>
        <w:t>If you wish to use the Supplier’s Standard BCDR Plan, unamended for the provision of the Deliverables under this Call-Off Contract, please delete all Option 2 content below. Please note, Buyers should also delete unused definitions from the table above if Option 1 is used. If you wish for the Supplier to design a tailored BCDR plan for this Call-Off Contract and comply with provisions which permit the Buyer to require testing, review, and more clarity in the BCDR Plan, please delete all Opti</w:t>
      </w:r>
      <w:r>
        <w:rPr>
          <w:sz w:val="24"/>
          <w:szCs w:val="24"/>
        </w:rPr>
        <w:t>on 1 content.]</w:t>
      </w:r>
      <w:r>
        <w:rPr>
          <w:color w:val="000000"/>
          <w:sz w:val="24"/>
          <w:szCs w:val="24"/>
        </w:rPr>
        <w:t>BCDR Plan</w:t>
      </w:r>
    </w:p>
    <w:p w14:paraId="46D16EE3" w14:textId="77777777" w:rsidR="001B2F3C" w:rsidRDefault="001B2F3C">
      <w:pPr>
        <w:pBdr>
          <w:top w:val="nil"/>
          <w:left w:val="nil"/>
          <w:bottom w:val="nil"/>
          <w:right w:val="nil"/>
          <w:between w:val="nil"/>
        </w:pBdr>
        <w:spacing w:before="120" w:after="120"/>
        <w:ind w:left="0"/>
        <w:jc w:val="left"/>
        <w:rPr>
          <w:sz w:val="24"/>
          <w:szCs w:val="24"/>
        </w:rPr>
      </w:pPr>
    </w:p>
    <w:p w14:paraId="6B97E742" w14:textId="77777777" w:rsidR="001B2F3C" w:rsidRDefault="00C3671C">
      <w:pPr>
        <w:pStyle w:val="Heading2"/>
        <w:numPr>
          <w:ilvl w:val="0"/>
          <w:numId w:val="6"/>
        </w:numPr>
        <w:tabs>
          <w:tab w:val="left" w:pos="0"/>
        </w:tabs>
        <w:spacing w:before="240"/>
        <w:jc w:val="left"/>
        <w:rPr>
          <w:sz w:val="24"/>
          <w:szCs w:val="24"/>
        </w:rPr>
      </w:pPr>
      <w:bookmarkStart w:id="4" w:name="_heading=h.u1hkr9gaqp09" w:colFirst="0" w:colLast="0"/>
      <w:bookmarkEnd w:id="4"/>
      <w:r>
        <w:rPr>
          <w:sz w:val="24"/>
          <w:szCs w:val="24"/>
        </w:rPr>
        <w:t>BCDR Plan</w:t>
      </w:r>
    </w:p>
    <w:p w14:paraId="3D8FC54A"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bookmarkStart w:id="5" w:name="_heading=h.1fob9te" w:colFirst="0" w:colLast="0"/>
      <w:bookmarkEnd w:id="5"/>
      <w:r>
        <w:rPr>
          <w:sz w:val="24"/>
          <w:szCs w:val="24"/>
        </w:rPr>
        <w:t xml:space="preserve"> </w:t>
      </w:r>
      <w:r>
        <w:rPr>
          <w:color w:val="000000"/>
          <w:sz w:val="24"/>
          <w:szCs w:val="24"/>
        </w:rPr>
        <w:t>[</w:t>
      </w:r>
      <w:r>
        <w:rPr>
          <w:color w:val="000000"/>
          <w:sz w:val="24"/>
          <w:szCs w:val="24"/>
          <w:highlight w:val="yellow"/>
        </w:rPr>
        <w:t>Option 1:</w:t>
      </w:r>
      <w:r>
        <w:rPr>
          <w:color w:val="000000"/>
          <w:sz w:val="24"/>
          <w:szCs w:val="24"/>
        </w:rPr>
        <w:t xml:space="preserve"> The Parties shall comply with the terms set out in Part A of this Schedule.] OR [</w:t>
      </w:r>
      <w:r>
        <w:rPr>
          <w:color w:val="000000"/>
          <w:sz w:val="24"/>
          <w:szCs w:val="24"/>
          <w:highlight w:val="yellow"/>
        </w:rPr>
        <w:t>Option 2</w:t>
      </w:r>
      <w:r>
        <w:rPr>
          <w:color w:val="000000"/>
          <w:sz w:val="24"/>
          <w:szCs w:val="24"/>
        </w:rPr>
        <w:t>: The Buyer and the Supplier recognise that, where specified in Framework Schedule 4 (Framework Management), CCS shall have the right to enforce the Buyer's rights under this Schedule.</w:t>
      </w:r>
    </w:p>
    <w:p w14:paraId="4F907A87"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bookmarkStart w:id="6" w:name="_heading=h.2bn6wsx" w:colFirst="0" w:colLast="0"/>
      <w:bookmarkEnd w:id="6"/>
      <w:r>
        <w:rPr>
          <w:color w:val="000000"/>
          <w:sz w:val="24"/>
          <w:szCs w:val="24"/>
        </w:rPr>
        <w:t>At least ninety (90) Working Days prior to the Start Date the Supplier shall prepare and deliver to the Buyer for the Buyer’s written approval a BCDR Plan.</w:t>
      </w:r>
    </w:p>
    <w:p w14:paraId="74B9744B"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BCDR Plan shall be divided into four sections:</w:t>
      </w:r>
    </w:p>
    <w:p w14:paraId="09AF46A1"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7" w:name="_heading=h.3znysh7" w:colFirst="0" w:colLast="0"/>
      <w:bookmarkEnd w:id="7"/>
      <w:r>
        <w:rPr>
          <w:color w:val="000000"/>
          <w:sz w:val="24"/>
          <w:szCs w:val="24"/>
        </w:rPr>
        <w:t xml:space="preserve">Section 1 which shall set out general principles applicable to the BCDR Plan; </w:t>
      </w:r>
    </w:p>
    <w:p w14:paraId="243538D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8" w:name="_heading=h.2et92p0" w:colFirst="0" w:colLast="0"/>
      <w:bookmarkEnd w:id="8"/>
      <w:r>
        <w:rPr>
          <w:color w:val="000000"/>
          <w:sz w:val="24"/>
          <w:szCs w:val="24"/>
        </w:rPr>
        <w:t xml:space="preserve">Section 2 which shall relate to business continuity (the "Business Continuity Plan"); </w:t>
      </w:r>
    </w:p>
    <w:p w14:paraId="28D1C22F"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9" w:name="_heading=h.tyjcwt" w:colFirst="0" w:colLast="0"/>
      <w:bookmarkEnd w:id="9"/>
      <w:r>
        <w:rPr>
          <w:color w:val="000000"/>
          <w:sz w:val="24"/>
          <w:szCs w:val="24"/>
        </w:rPr>
        <w:t>Section 3 which shall relate to disaster recovery (the "Disaster Recovery Plan"); and</w:t>
      </w:r>
    </w:p>
    <w:p w14:paraId="12133C26"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Section 4 which shall relate to an Insolvency Event of the Supplier, and Key-Subcontractors and/or any Supplier Group member (the “Insolvency Continuity Plan”).</w:t>
      </w:r>
    </w:p>
    <w:p w14:paraId="06F744B1"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bookmarkStart w:id="10" w:name="_heading=h.3dy6vkm" w:colFirst="0" w:colLast="0"/>
      <w:bookmarkEnd w:id="10"/>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5712E755" w14:textId="77777777" w:rsidR="001B2F3C" w:rsidRDefault="00C3671C">
      <w:pPr>
        <w:numPr>
          <w:ilvl w:val="1"/>
          <w:numId w:val="6"/>
        </w:numPr>
        <w:pBdr>
          <w:top w:val="nil"/>
          <w:left w:val="nil"/>
          <w:bottom w:val="nil"/>
          <w:right w:val="nil"/>
          <w:between w:val="nil"/>
        </w:pBdr>
        <w:spacing w:before="120" w:after="120"/>
        <w:ind w:left="851" w:hanging="851"/>
        <w:jc w:val="left"/>
        <w:rPr>
          <w:sz w:val="24"/>
          <w:szCs w:val="24"/>
        </w:rPr>
      </w:pPr>
      <w:bookmarkStart w:id="11" w:name="_heading=h.qsh70q" w:colFirst="0" w:colLast="0"/>
      <w:bookmarkEnd w:id="11"/>
      <w:r>
        <w:rPr>
          <w:sz w:val="24"/>
          <w:szCs w:val="24"/>
        </w:rPr>
        <w:t xml:space="preserve">To the extent the Supplier fails to supply its BCDR Plan in compliance with paragraph 1.2,  the Buyer may at its discretion require the Supplier to promptly provide its Standard BCDR Plan and comply with the provisions of Part A of this Schedule until the Supplier provides its BCDR Plan. Exercise </w:t>
      </w:r>
      <w:r>
        <w:rPr>
          <w:sz w:val="24"/>
          <w:szCs w:val="24"/>
        </w:rPr>
        <w:lastRenderedPageBreak/>
        <w:t>by the Buyer of its rights under this paragraph 1.5 shall not prevent and/or restrict the Buyer from exercising its other rights and remedies under this Contract, and shall not relieve the Supplier of its obligations under this Part B.]</w:t>
      </w:r>
    </w:p>
    <w:p w14:paraId="0B418817" w14:textId="77777777" w:rsidR="001B2F3C" w:rsidRDefault="00C3671C">
      <w:pPr>
        <w:keepNext/>
        <w:numPr>
          <w:ilvl w:val="0"/>
          <w:numId w:val="6"/>
        </w:numPr>
        <w:pBdr>
          <w:top w:val="nil"/>
          <w:left w:val="nil"/>
          <w:bottom w:val="nil"/>
          <w:right w:val="nil"/>
          <w:between w:val="nil"/>
        </w:pBdr>
        <w:tabs>
          <w:tab w:val="left" w:pos="0"/>
        </w:tabs>
        <w:spacing w:before="240"/>
        <w:jc w:val="left"/>
        <w:rPr>
          <w:b/>
          <w:smallCaps/>
          <w:color w:val="000000"/>
          <w:sz w:val="24"/>
          <w:szCs w:val="24"/>
        </w:rPr>
      </w:pPr>
      <w:bookmarkStart w:id="12" w:name="_heading=h.1t3h5sf" w:colFirst="0" w:colLast="0"/>
      <w:bookmarkEnd w:id="12"/>
      <w:r>
        <w:rPr>
          <w:rFonts w:ascii="Arial Bold" w:eastAsia="Arial Bold" w:hAnsi="Arial Bold" w:cs="Arial Bold"/>
          <w:b/>
          <w:color w:val="000000"/>
          <w:sz w:val="24"/>
          <w:szCs w:val="24"/>
        </w:rPr>
        <w:t>General Principles of the BCDR Plan (Section 1)</w:t>
      </w:r>
    </w:p>
    <w:p w14:paraId="6C0E9685"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Section 1 of the BCDR Plan shall:</w:t>
      </w:r>
    </w:p>
    <w:p w14:paraId="06B1670E"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how the business continuity and disaster recovery elements of the BCDR Plan link to each other;</w:t>
      </w:r>
    </w:p>
    <w:p w14:paraId="5ECB2594"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14:paraId="326D8006"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an obligation upon the Supplier to liaise with the Buyer and any Related Suppliers with respect to business continuity and disaster recovery;</w:t>
      </w:r>
    </w:p>
    <w:p w14:paraId="2DD5372E"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detail how the BCDR Plan interoperates with any overarching disaster recovery or business continuity plan of the Buyer and any Related Supplier(s) in each case as notified to the Supplier by the Buyer from time to time;</w:t>
      </w:r>
    </w:p>
    <w:p w14:paraId="67B2A0BF"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 communication strategy including details of an incident and problem management service and advice and help desk facility which can be accessed via multiple channels;</w:t>
      </w:r>
    </w:p>
    <w:p w14:paraId="4ACDB2B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 risk analysis, including:</w:t>
      </w:r>
    </w:p>
    <w:p w14:paraId="504D6BC5" w14:textId="77777777" w:rsidR="001B2F3C" w:rsidRDefault="00C3671C">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failure or disruption scenarios and assessments of likely frequency of occurrence;</w:t>
      </w:r>
    </w:p>
    <w:p w14:paraId="452C503D" w14:textId="77777777" w:rsidR="001B2F3C" w:rsidRDefault="00C3671C">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identification of any single points of failure within the provision of Deliverables and processes for managing those risks;</w:t>
      </w:r>
    </w:p>
    <w:p w14:paraId="500F0EAC" w14:textId="77777777" w:rsidR="001B2F3C" w:rsidRDefault="00C3671C">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identification of risks arising from the interaction of the provision of Deliverables with the goods and/or services provided by a Related Supplier; and</w:t>
      </w:r>
    </w:p>
    <w:p w14:paraId="6CB2C681" w14:textId="77777777" w:rsidR="001B2F3C" w:rsidRDefault="00C3671C">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a business impact analysis of different anticipated failures or disruptions;</w:t>
      </w:r>
    </w:p>
    <w:p w14:paraId="217643E4"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provide for documentation of processes, including business processes, and procedures;</w:t>
      </w:r>
    </w:p>
    <w:p w14:paraId="5117539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key contact details for the Supplier (and any Subcontractors) and for the Buyer;</w:t>
      </w:r>
    </w:p>
    <w:p w14:paraId="06EE0EC4"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identify the procedures for reverting to "normal service";</w:t>
      </w:r>
    </w:p>
    <w:p w14:paraId="75B918F1"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method(s) of recovering or updating data collected (or which ought to have been collected) during a failure or disruption to minimise data loss;</w:t>
      </w:r>
    </w:p>
    <w:p w14:paraId="58FEC80A"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lastRenderedPageBreak/>
        <w:t xml:space="preserve">identify the responsibilities (if any) that the Buyer has agreed it will assume in the event of the invocation of the BCDR Plan; </w:t>
      </w:r>
    </w:p>
    <w:p w14:paraId="414D1674"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provide for the provision of technical assistance to key contacts at the Buyer as required by the Buyer to inform decisions in support of the Buyer’s business continuity plans;</w:t>
      </w:r>
    </w:p>
    <w:p w14:paraId="45632C6B"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13" w:name="_heading=h.3as4poj" w:colFirst="0" w:colLast="0"/>
      <w:bookmarkEnd w:id="13"/>
      <w:r>
        <w:rPr>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08ABDB44"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an obligation upon the Supplier to liaise with the Buyer and (at the Buyer’s request) any Related Supplier with respect to issues concerning insolvency continuity where applicable; and</w:t>
      </w:r>
    </w:p>
    <w:p w14:paraId="440783BD"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14" w:name="_heading=h.1pxezwc" w:colFirst="0" w:colLast="0"/>
      <w:bookmarkEnd w:id="14"/>
      <w:r>
        <w:rPr>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6F55C0CD"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BCDR Plan shall be designed so as to ensure that:</w:t>
      </w:r>
    </w:p>
    <w:p w14:paraId="47D25BD4"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Deliverables are provided in accordance with this Contract at all times during and after the invocation of the BCDR Plan;</w:t>
      </w:r>
    </w:p>
    <w:p w14:paraId="6C19A875"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the adverse impact of any Disaster is minimised as far as reasonably possible; </w:t>
      </w:r>
    </w:p>
    <w:p w14:paraId="2F60858B"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it complies with the relevant provisions of ISO/IEC 27002; ISO22301/ISO22313 and all other industry standards from time to time in force; and</w:t>
      </w:r>
    </w:p>
    <w:p w14:paraId="24EFF4D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it details a process for the management of disaster recovery testing.</w:t>
      </w:r>
    </w:p>
    <w:p w14:paraId="2490EA06"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666E9CB4"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3C7E8BE5" w14:textId="77777777" w:rsidR="001B2F3C" w:rsidRDefault="00C3671C">
      <w:pPr>
        <w:keepNext/>
        <w:numPr>
          <w:ilvl w:val="0"/>
          <w:numId w:val="6"/>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Business Continuity (Section 2)</w:t>
      </w:r>
    </w:p>
    <w:p w14:paraId="5DC9963F"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15" w:name="_heading=h.4d34og8" w:colFirst="0" w:colLast="0"/>
      <w:bookmarkEnd w:id="15"/>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1995E8B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alternative processes, options and responsibilities that may be adopted in the event of a failure in or disruption to the provision of Deliverables; and</w:t>
      </w:r>
    </w:p>
    <w:p w14:paraId="270DC206"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lastRenderedPageBreak/>
        <w:t>the steps to be taken by the Supplier upon resumption of the provision of Deliverables in order to address the effect of the failure or disruption.</w:t>
      </w:r>
    </w:p>
    <w:p w14:paraId="55D9183A"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Business Continuity Plan shall:</w:t>
      </w:r>
    </w:p>
    <w:p w14:paraId="04833DD1"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address the various possible levels of failures of or disruptions to the provision of Deliverables;</w:t>
      </w:r>
    </w:p>
    <w:p w14:paraId="39E73F1C"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16" w:name="_heading=h.2s8eyo1" w:colFirst="0" w:colLast="0"/>
      <w:bookmarkEnd w:id="16"/>
      <w:r>
        <w:rPr>
          <w:color w:val="000000"/>
          <w:sz w:val="24"/>
          <w:szCs w:val="24"/>
        </w:rPr>
        <w:t>set out the goods and/or services to be provided and the steps to be taken to remedy the different levels of failures of and disruption to the Deliverables;</w:t>
      </w:r>
    </w:p>
    <w:p w14:paraId="776CFA3F"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2AC9445D"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the circumstances in which the Business Continuity Plan is invoked.</w:t>
      </w:r>
    </w:p>
    <w:p w14:paraId="065078D5" w14:textId="77777777" w:rsidR="001B2F3C" w:rsidRDefault="00C3671C">
      <w:pPr>
        <w:keepNext/>
        <w:numPr>
          <w:ilvl w:val="0"/>
          <w:numId w:val="6"/>
        </w:numPr>
        <w:pBdr>
          <w:top w:val="nil"/>
          <w:left w:val="nil"/>
          <w:bottom w:val="nil"/>
          <w:right w:val="nil"/>
          <w:between w:val="nil"/>
        </w:pBdr>
        <w:tabs>
          <w:tab w:val="left" w:pos="0"/>
        </w:tabs>
        <w:spacing w:before="240"/>
        <w:ind w:left="851" w:hanging="851"/>
        <w:jc w:val="left"/>
        <w:rPr>
          <w:b/>
          <w:smallCaps/>
          <w:color w:val="000000"/>
          <w:sz w:val="24"/>
          <w:szCs w:val="24"/>
        </w:rPr>
      </w:pPr>
      <w:r>
        <w:rPr>
          <w:rFonts w:ascii="Arial Bold" w:eastAsia="Arial Bold" w:hAnsi="Arial Bold" w:cs="Arial Bold"/>
          <w:b/>
          <w:color w:val="000000"/>
          <w:sz w:val="24"/>
          <w:szCs w:val="24"/>
        </w:rPr>
        <w:t>Disaster Recovery (Section 3)</w:t>
      </w:r>
    </w:p>
    <w:p w14:paraId="58383D13"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17" w:name="_heading=h.17dp8vu" w:colFirst="0" w:colLast="0"/>
      <w:bookmarkEnd w:id="17"/>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08BD680"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Supplier's BCDR Plan shall include an approach to business continuity and disaster recovery that addresses the following:</w:t>
      </w:r>
    </w:p>
    <w:p w14:paraId="0FB0A2C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access to the Buyer Premises;</w:t>
      </w:r>
    </w:p>
    <w:p w14:paraId="066066B6"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utilities to the Buyer Premises;</w:t>
      </w:r>
    </w:p>
    <w:p w14:paraId="3B51139F"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the Supplier's helpdesk or CAFM system;</w:t>
      </w:r>
    </w:p>
    <w:p w14:paraId="306A7F2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a Subcontractor;</w:t>
      </w:r>
    </w:p>
    <w:p w14:paraId="009C1EB6"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emergency notification and escalation process;</w:t>
      </w:r>
    </w:p>
    <w:p w14:paraId="0052DA0D"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contact lists;</w:t>
      </w:r>
    </w:p>
    <w:p w14:paraId="0583E577"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staff training and awareness;</w:t>
      </w:r>
    </w:p>
    <w:p w14:paraId="3006C2CF"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BCDR Plan testing; </w:t>
      </w:r>
    </w:p>
    <w:p w14:paraId="0E6C5298"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post implementation review process; </w:t>
      </w:r>
    </w:p>
    <w:p w14:paraId="6CA9436B"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348C548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lastRenderedPageBreak/>
        <w:t>details of how the Supplier shall ensure compliance with security standards ensuring that compliance is maintained for any period during which the Disaster Recovery Plan is invoked;</w:t>
      </w:r>
    </w:p>
    <w:p w14:paraId="0693DE92"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access controls to any disaster recovery sites used by the Supplier in relation to its obligations pursuant to this Schedule; and</w:t>
      </w:r>
    </w:p>
    <w:p w14:paraId="71CE2F7F"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testing and management arrangements.</w:t>
      </w:r>
    </w:p>
    <w:p w14:paraId="0E011EA4" w14:textId="77777777" w:rsidR="001B2F3C" w:rsidRDefault="00C3671C">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bookmarkStart w:id="18" w:name="_heading=h.49x2ik5" w:colFirst="0" w:colLast="0"/>
      <w:bookmarkEnd w:id="18"/>
      <w:r>
        <w:rPr>
          <w:rFonts w:ascii="Arial Bold" w:eastAsia="Arial Bold" w:hAnsi="Arial Bold" w:cs="Arial Bold"/>
          <w:b/>
          <w:color w:val="000000"/>
          <w:sz w:val="24"/>
          <w:szCs w:val="24"/>
        </w:rPr>
        <w:t>Insolvency Continuity Plan (Section 4)</w:t>
      </w:r>
    </w:p>
    <w:p w14:paraId="5C0124A9" w14:textId="77777777" w:rsidR="001B2F3C" w:rsidRDefault="00C3671C">
      <w:pPr>
        <w:keepNext/>
        <w:numPr>
          <w:ilvl w:val="1"/>
          <w:numId w:val="6"/>
        </w:numPr>
        <w:pBdr>
          <w:top w:val="nil"/>
          <w:left w:val="nil"/>
          <w:bottom w:val="nil"/>
          <w:right w:val="nil"/>
          <w:between w:val="nil"/>
        </w:pBdr>
        <w:spacing w:before="120" w:after="120"/>
        <w:ind w:left="851" w:hanging="851"/>
        <w:jc w:val="left"/>
        <w:rPr>
          <w:sz w:val="24"/>
          <w:szCs w:val="24"/>
        </w:rPr>
      </w:pPr>
      <w:r>
        <w:rPr>
          <w:sz w:val="24"/>
          <w:szCs w:val="24"/>
        </w:rPr>
        <w:t xml:space="preserve">The Insolvency Continuity Plan shall be designed by the Supplier to permit continuity of the business operations of the Buyer supported by the Deliverables through continued </w:t>
      </w:r>
      <w:r>
        <w:rPr>
          <w:color w:val="000000"/>
          <w:sz w:val="24"/>
          <w:szCs w:val="24"/>
        </w:rPr>
        <w:t>provision</w:t>
      </w:r>
      <w:r>
        <w:rPr>
          <w:sz w:val="24"/>
          <w:szCs w:val="24"/>
        </w:rPr>
        <w:t xml:space="preserve"> of the Deliverables following an Insolvency Event of the Supplier, any Key Sub-contractor and/or any Supplier Group member with, as far as reasonably possible, minimal adverse impact.</w:t>
      </w:r>
    </w:p>
    <w:p w14:paraId="32E8523E" w14:textId="77777777" w:rsidR="001B2F3C" w:rsidRDefault="00C3671C">
      <w:pPr>
        <w:keepNext/>
        <w:numPr>
          <w:ilvl w:val="1"/>
          <w:numId w:val="6"/>
        </w:numPr>
        <w:pBdr>
          <w:top w:val="nil"/>
          <w:left w:val="nil"/>
          <w:bottom w:val="nil"/>
          <w:right w:val="nil"/>
          <w:between w:val="nil"/>
        </w:pBdr>
        <w:spacing w:before="120" w:after="120"/>
        <w:ind w:left="851" w:hanging="851"/>
        <w:jc w:val="left"/>
        <w:rPr>
          <w:sz w:val="24"/>
          <w:szCs w:val="24"/>
        </w:rPr>
      </w:pPr>
      <w:r>
        <w:rPr>
          <w:sz w:val="24"/>
          <w:szCs w:val="24"/>
        </w:rPr>
        <w:t xml:space="preserve">The Insolvency </w:t>
      </w:r>
      <w:r>
        <w:rPr>
          <w:color w:val="000000"/>
          <w:sz w:val="24"/>
          <w:szCs w:val="24"/>
        </w:rPr>
        <w:t>Continuity</w:t>
      </w:r>
      <w:r>
        <w:rPr>
          <w:sz w:val="24"/>
          <w:szCs w:val="24"/>
        </w:rPr>
        <w:t xml:space="preserve"> Plan shall include the following:</w:t>
      </w:r>
    </w:p>
    <w:p w14:paraId="15A7EF1D"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personnel;</w:t>
      </w:r>
    </w:p>
    <w:p w14:paraId="668CF62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48CC7FCD"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plans to manage and mitigate identified risks;</w:t>
      </w:r>
    </w:p>
    <w:p w14:paraId="684FAD71"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details of the roles and responsibilities of the Supplier, Key Subcontractors and/or Supplier Group members to minimise and mitigate the effects of an Insolvency Event of such persons on the Deliverables;</w:t>
      </w:r>
    </w:p>
    <w:p w14:paraId="53BDBD5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details of the recovery team to be put in place by the Supplier (which may include representatives of the Supplier, Key Subcontractors and Supplier Group members); and</w:t>
      </w:r>
    </w:p>
    <w:p w14:paraId="31148A2B"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sufficient detail to enable an appointed insolvency practitioner to invoke the plan in the event of an Insolvency Event of the Supplier.</w:t>
      </w:r>
    </w:p>
    <w:p w14:paraId="7C0560DE" w14:textId="77777777" w:rsidR="001B2F3C" w:rsidRDefault="00C3671C">
      <w:pPr>
        <w:keepNext/>
        <w:numPr>
          <w:ilvl w:val="0"/>
          <w:numId w:val="6"/>
        </w:numPr>
        <w:pBdr>
          <w:top w:val="nil"/>
          <w:left w:val="nil"/>
          <w:bottom w:val="nil"/>
          <w:right w:val="nil"/>
          <w:between w:val="nil"/>
        </w:pBdr>
        <w:tabs>
          <w:tab w:val="left" w:pos="0"/>
        </w:tabs>
        <w:spacing w:before="240"/>
        <w:ind w:left="851" w:hanging="851"/>
        <w:jc w:val="left"/>
        <w:rPr>
          <w:b/>
          <w:smallCaps/>
          <w:color w:val="000000"/>
          <w:sz w:val="24"/>
          <w:szCs w:val="24"/>
        </w:rPr>
      </w:pPr>
      <w:r>
        <w:rPr>
          <w:rFonts w:ascii="Arial Bold" w:eastAsia="Arial Bold" w:hAnsi="Arial Bold" w:cs="Arial Bold"/>
          <w:b/>
          <w:color w:val="000000"/>
          <w:sz w:val="24"/>
          <w:szCs w:val="24"/>
        </w:rPr>
        <w:t>Review and changing the BCDR Plan</w:t>
      </w:r>
    </w:p>
    <w:p w14:paraId="75622F43"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19" w:name="_heading=h.3rdcrjn" w:colFirst="0" w:colLast="0"/>
      <w:bookmarkEnd w:id="19"/>
      <w:r>
        <w:rPr>
          <w:color w:val="000000"/>
          <w:sz w:val="24"/>
          <w:szCs w:val="24"/>
        </w:rPr>
        <w:t>The Supplier shall review the BCDR Plan:</w:t>
      </w:r>
    </w:p>
    <w:p w14:paraId="52BC1F0A"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20" w:name="_heading=h.26in1rg" w:colFirst="0" w:colLast="0"/>
      <w:bookmarkEnd w:id="20"/>
      <w:r>
        <w:rPr>
          <w:color w:val="000000"/>
          <w:sz w:val="24"/>
          <w:szCs w:val="24"/>
        </w:rPr>
        <w:t>on a regular basis and as a minimum once every six (6) Months;</w:t>
      </w:r>
    </w:p>
    <w:p w14:paraId="15FFACA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21" w:name="_heading=h.lnxbz9" w:colFirst="0" w:colLast="0"/>
      <w:bookmarkEnd w:id="21"/>
      <w:r>
        <w:rPr>
          <w:color w:val="000000"/>
          <w:sz w:val="24"/>
          <w:szCs w:val="24"/>
        </w:rPr>
        <w:t>within three (3) calendar Months of the BCDR Plan (or any part) having been invoked pursuant to Paragraph 8 of Part B; and</w:t>
      </w:r>
    </w:p>
    <w:p w14:paraId="0C8F83B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22" w:name="_heading=h.35nkun2" w:colFirst="0" w:colLast="0"/>
      <w:bookmarkEnd w:id="22"/>
      <w:r>
        <w:rPr>
          <w:color w:val="000000"/>
          <w:sz w:val="24"/>
          <w:szCs w:val="24"/>
        </w:rPr>
        <w:lastRenderedPageBreak/>
        <w:t>where the Buyer requests in writing any additional reviews (over and above those provided for in Paragraphs 6.1.1 and 6.1.2 of Part B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w:t>
      </w:r>
      <w:r>
        <w:rPr>
          <w:color w:val="000000"/>
          <w:sz w:val="24"/>
          <w:szCs w:val="24"/>
        </w:rPr>
        <w:t xml:space="preserve">ier shall not be entitled to charge the Buyer for any costs that it may incur above any estimate without the Buyer’s prior written approval. </w:t>
      </w:r>
    </w:p>
    <w:p w14:paraId="78BC1542"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3" w:name="_heading=h.1ksv4uv" w:colFirst="0" w:colLast="0"/>
      <w:bookmarkEnd w:id="23"/>
      <w:r>
        <w:rPr>
          <w:color w:val="000000"/>
          <w:sz w:val="24"/>
          <w:szCs w:val="24"/>
        </w:rPr>
        <w:t>Each review of the BCDR Plan pursuant to Paragraph 6.1 of Part B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w:t>
      </w:r>
      <w:r>
        <w:rPr>
          <w:color w:val="000000"/>
          <w:sz w:val="24"/>
          <w:szCs w:val="24"/>
        </w:rPr>
        <w:t xml:space="preserve"> may increase the likelihood of the need to invoke the BCDR Plan. The review shall be completed by the Supplier within such period as the Buyer shall reasonably require.  </w:t>
      </w:r>
    </w:p>
    <w:p w14:paraId="62887DC2"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4" w:name="_heading=h.44sinio" w:colFirst="0" w:colLast="0"/>
      <w:bookmarkEnd w:id="24"/>
      <w:r>
        <w:rPr>
          <w:color w:val="000000"/>
          <w:sz w:val="24"/>
          <w:szCs w:val="24"/>
        </w:rPr>
        <w:t>The Supplier shall, within twenty (20) Working Days of the conclusion of each such review of the BCDR Plan, provide to the Buyer a report (a "Review Report") setting out the Supplier's proposals (the "Supplier's Proposals") for addressing any changes in the risk profile and its proposals for amendments to the BCDR Plan.</w:t>
      </w:r>
    </w:p>
    <w:p w14:paraId="294D7430"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5" w:name="_heading=h.2jxsxqh" w:colFirst="0" w:colLast="0"/>
      <w:bookmarkEnd w:id="25"/>
      <w:r>
        <w:rPr>
          <w:color w:val="000000"/>
          <w:sz w:val="24"/>
          <w:szCs w:val="24"/>
        </w:rPr>
        <w:t xml:space="preserve">Following receipt of the Review Report and the Supplier’s Proposals, the Parties shall use reasonable endeavours to agree the Review Report and the Supplier's Proposals. If the Parties are unable to agree the Review Report and the Supplier's Proposals within twenty (20) Working Days of its submission, then such Dispute shall be resolved in accordance with the Dispute Resolution Procedure. </w:t>
      </w:r>
    </w:p>
    <w:p w14:paraId="1B6F20D1"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14AC16E" w14:textId="77777777" w:rsidR="001B2F3C" w:rsidRDefault="00C3671C">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bookmarkStart w:id="26" w:name="_heading=h.z337ya" w:colFirst="0" w:colLast="0"/>
      <w:bookmarkEnd w:id="26"/>
      <w:r>
        <w:rPr>
          <w:rFonts w:ascii="Arial Bold" w:eastAsia="Arial Bold" w:hAnsi="Arial Bold" w:cs="Arial Bold"/>
          <w:b/>
          <w:color w:val="000000"/>
          <w:sz w:val="24"/>
          <w:szCs w:val="24"/>
        </w:rPr>
        <w:t>Testing the BCDR Plan</w:t>
      </w:r>
    </w:p>
    <w:p w14:paraId="7BEB41B8"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7" w:name="_heading=h.3j2qqm3" w:colFirst="0" w:colLast="0"/>
      <w:bookmarkEnd w:id="27"/>
      <w:r>
        <w:rPr>
          <w:color w:val="000000"/>
          <w:sz w:val="24"/>
          <w:szCs w:val="24"/>
        </w:rPr>
        <w:t xml:space="preserve">The Supplier shall test the BCDR Plan: </w:t>
      </w:r>
    </w:p>
    <w:p w14:paraId="0B4528DB"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regularly and in any event not less than once in every Contract Year;</w:t>
      </w:r>
    </w:p>
    <w:p w14:paraId="773D1A85"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in the event of any major reconfiguration of the Deliverables</w:t>
      </w:r>
    </w:p>
    <w:p w14:paraId="7E2F4CA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at any time where the Buyer considers it necessary (acting in its sole discretion).  </w:t>
      </w:r>
    </w:p>
    <w:p w14:paraId="779CE268"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bookmarkStart w:id="28" w:name="_heading=h.1y810tw" w:colFirst="0" w:colLast="0"/>
      <w:bookmarkEnd w:id="28"/>
      <w:r>
        <w:rPr>
          <w:color w:val="000000"/>
          <w:sz w:val="24"/>
          <w:szCs w:val="24"/>
        </w:rPr>
        <w:lastRenderedPageBreak/>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58A6A917"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0CB1B432"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 shall ensure that any use by it or any Subcontractor of "live" data in such testing is first approved by the Buyer. Copies of live test data used in any such testing shall be (if so required by the Buyer) destroyed or returned to the Buyer on completion of the test.</w:t>
      </w:r>
    </w:p>
    <w:p w14:paraId="185A97AA" w14:textId="77777777" w:rsidR="001B2F3C" w:rsidRDefault="00C3671C">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 shall, within twenty (20) Working Days of the conclusion of each test, provide to the Buyer a report setting out:</w:t>
      </w:r>
    </w:p>
    <w:p w14:paraId="667922C2"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outcome of the test;</w:t>
      </w:r>
    </w:p>
    <w:p w14:paraId="503749B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any failures in the BCDR Plan (including the BCDR Plan's procedures) revealed by the test; and</w:t>
      </w:r>
    </w:p>
    <w:p w14:paraId="7412BD46"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Supplier's proposals for remedying any such failures.</w:t>
      </w:r>
    </w:p>
    <w:p w14:paraId="0DF42C8E"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bookmarkStart w:id="29" w:name="_heading=h.4i7ojhp" w:colFirst="0" w:colLast="0"/>
      <w:bookmarkEnd w:id="29"/>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B5DFC74" w14:textId="77777777" w:rsidR="001B2F3C" w:rsidRDefault="00C3671C">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bookmarkStart w:id="30" w:name="_heading=h.2xcytpi" w:colFirst="0" w:colLast="0"/>
      <w:bookmarkEnd w:id="30"/>
      <w:r>
        <w:rPr>
          <w:rFonts w:ascii="Arial Bold" w:eastAsia="Arial Bold" w:hAnsi="Arial Bold" w:cs="Arial Bold"/>
          <w:b/>
          <w:color w:val="000000"/>
          <w:sz w:val="24"/>
          <w:szCs w:val="24"/>
        </w:rPr>
        <w:t>Invoking the BCDR Plan</w:t>
      </w:r>
    </w:p>
    <w:p w14:paraId="0FAAE92D"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2AC020B7"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bookmarkStart w:id="31" w:name="_heading=h.2p2csry" w:colFirst="0" w:colLast="0"/>
      <w:bookmarkEnd w:id="31"/>
      <w:r>
        <w:rPr>
          <w:color w:val="000000"/>
          <w:sz w:val="24"/>
          <w:szCs w:val="24"/>
        </w:rPr>
        <w:t>The Insolvency Continuity Plan element of the BCDR Plan, including any linked elements in other parts of the BCDR Plan, shall be invoked by the Supplier:</w:t>
      </w:r>
    </w:p>
    <w:p w14:paraId="27B3DD41"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sz w:val="24"/>
          <w:szCs w:val="24"/>
        </w:rPr>
        <w:t xml:space="preserve">where an Insolvency Event of a Key Sub-contractor and/or Supplier Group </w:t>
      </w:r>
      <w:r>
        <w:rPr>
          <w:color w:val="000000"/>
          <w:sz w:val="24"/>
          <w:szCs w:val="24"/>
        </w:rPr>
        <w:t>member (other than the Supplier) could reasonably be expected to adversely affect delivery of the Deliverables; and/or</w:t>
      </w:r>
    </w:p>
    <w:p w14:paraId="3A3BD91C"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color w:val="000000"/>
          <w:sz w:val="24"/>
          <w:szCs w:val="24"/>
        </w:rPr>
        <w:t>where there is an Insolvency Event of the Supplier and the insolvency arrangements</w:t>
      </w:r>
      <w:r>
        <w:rPr>
          <w:sz w:val="24"/>
          <w:szCs w:val="24"/>
        </w:rPr>
        <w:t xml:space="preserve"> enable the Supplier to invoke the plan.</w:t>
      </w:r>
    </w:p>
    <w:p w14:paraId="2504E07D" w14:textId="77777777" w:rsidR="001B2F3C" w:rsidRDefault="00C3671C">
      <w:pPr>
        <w:keepNext/>
        <w:numPr>
          <w:ilvl w:val="0"/>
          <w:numId w:val="6"/>
        </w:numPr>
        <w:pBdr>
          <w:top w:val="nil"/>
          <w:left w:val="nil"/>
          <w:bottom w:val="nil"/>
          <w:right w:val="nil"/>
          <w:between w:val="nil"/>
        </w:pBdr>
        <w:tabs>
          <w:tab w:val="left" w:pos="0"/>
          <w:tab w:val="left" w:pos="851"/>
        </w:tabs>
        <w:spacing w:before="240"/>
        <w:ind w:left="851" w:hanging="851"/>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Circumstances beyond your control</w:t>
      </w:r>
    </w:p>
    <w:p w14:paraId="4724E2AB"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 xml:space="preserve">The Supplier shall not be entitled to relief under Clause 20 (Circumstances beyond your control) if it would not have been impacted by the Force </w:t>
      </w:r>
      <w:r>
        <w:rPr>
          <w:color w:val="000000"/>
          <w:sz w:val="24"/>
          <w:szCs w:val="24"/>
        </w:rPr>
        <w:lastRenderedPageBreak/>
        <w:t xml:space="preserve">Majeure Event had it not failed to comply with its obligations under this Schedule. </w:t>
      </w:r>
    </w:p>
    <w:p w14:paraId="6D1889FE" w14:textId="77777777" w:rsidR="001B2F3C" w:rsidRDefault="00C3671C">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Amendments to this Schedule in respect of Bronze Contracts</w:t>
      </w:r>
    </w:p>
    <w:p w14:paraId="6172C73D" w14:textId="77777777" w:rsidR="001B2F3C" w:rsidRDefault="00C3671C">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Where a Buyer’s Call-Off Contract is a Bronze Contract, if specified in the Order Form, the following provisions of this Call-Off Schedule 8, shall be disapplied in respect of that Contract:</w:t>
      </w:r>
    </w:p>
    <w:p w14:paraId="0B5253A4"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sz w:val="24"/>
          <w:szCs w:val="24"/>
        </w:rPr>
        <w:t xml:space="preserve">Paragraph 1.3.4 of Part B so that the BCDR plan shall only be required to be </w:t>
      </w:r>
      <w:r>
        <w:rPr>
          <w:color w:val="000000"/>
          <w:sz w:val="24"/>
          <w:szCs w:val="24"/>
        </w:rPr>
        <w:t>split into the three sections detailed in paragraphs 1.3.1 to 1.3.3 of Part B inclusive;</w:t>
      </w:r>
    </w:p>
    <w:p w14:paraId="705F844E"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Paragraphs 2.1.13 to 2.1.15 of Part B, inclusive;</w:t>
      </w:r>
    </w:p>
    <w:p w14:paraId="1B639A5A"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Paragraph 5 (Insolvency Continuity Plan) of Part B;</w:t>
      </w:r>
    </w:p>
    <w:p w14:paraId="57252578"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Paragraph 8.2 of Part B; and</w:t>
      </w:r>
    </w:p>
    <w:p w14:paraId="471B3DF7"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color w:val="000000"/>
          <w:sz w:val="24"/>
          <w:szCs w:val="24"/>
        </w:rPr>
        <w:t>The entirety</w:t>
      </w:r>
      <w:r>
        <w:rPr>
          <w:sz w:val="24"/>
          <w:szCs w:val="24"/>
        </w:rPr>
        <w:t xml:space="preserve"> of Part C of this Schedule.</w:t>
      </w:r>
    </w:p>
    <w:p w14:paraId="7B25109B" w14:textId="77777777" w:rsidR="001B2F3C" w:rsidRDefault="00C3671C">
      <w:pPr>
        <w:numPr>
          <w:ilvl w:val="1"/>
          <w:numId w:val="6"/>
        </w:numPr>
        <w:pBdr>
          <w:top w:val="nil"/>
          <w:left w:val="nil"/>
          <w:bottom w:val="nil"/>
          <w:right w:val="nil"/>
          <w:between w:val="nil"/>
        </w:pBdr>
        <w:spacing w:before="120" w:after="120"/>
        <w:jc w:val="left"/>
        <w:rPr>
          <w:color w:val="000000"/>
          <w:sz w:val="24"/>
          <w:szCs w:val="24"/>
        </w:rPr>
      </w:pPr>
      <w:r>
        <w:rPr>
          <w:color w:val="000000"/>
          <w:sz w:val="24"/>
          <w:szCs w:val="24"/>
        </w:rPr>
        <w:t>Where a Buyer’s Call-Off Contract is a Bronze Contract, if specified in the Order Form, the following definitions in Paragraph 1 of Part B of this Call-Off Schedule 8, shall be deemed to be deleted:</w:t>
      </w:r>
    </w:p>
    <w:p w14:paraId="57FB0F61"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Annual Review;</w:t>
      </w:r>
    </w:p>
    <w:p w14:paraId="5589ECDB"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Appropriate Authority or Appropriate Authorities;</w:t>
      </w:r>
    </w:p>
    <w:p w14:paraId="275067A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Associates;</w:t>
      </w:r>
    </w:p>
    <w:p w14:paraId="52A42556"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Class 1 Transaction;</w:t>
      </w:r>
    </w:p>
    <w:p w14:paraId="7E3947A1"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Control;</w:t>
      </w:r>
    </w:p>
    <w:p w14:paraId="767DE13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Corporate Change Event;</w:t>
      </w:r>
    </w:p>
    <w:p w14:paraId="56354927"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Critical National Infrastructure;</w:t>
      </w:r>
    </w:p>
    <w:p w14:paraId="55443F1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Critical Service Contract;</w:t>
      </w:r>
    </w:p>
    <w:p w14:paraId="36358B6F"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CRP Information;</w:t>
      </w:r>
    </w:p>
    <w:p w14:paraId="3F32E3A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Dependent Parent Undertaking;</w:t>
      </w:r>
    </w:p>
    <w:p w14:paraId="1E53B48A"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Group Structure Information and Resolution Commentary;</w:t>
      </w:r>
    </w:p>
    <w:p w14:paraId="0C41E13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Parent Undertaking;</w:t>
      </w:r>
    </w:p>
    <w:p w14:paraId="566893C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Public Sector Dependent Supplier;</w:t>
      </w:r>
    </w:p>
    <w:p w14:paraId="04F9182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Subsidiary Undertaking;</w:t>
      </w:r>
    </w:p>
    <w:p w14:paraId="631F4243"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Supplier Group;</w:t>
      </w:r>
    </w:p>
    <w:p w14:paraId="413DFED9"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UK Public Sector Business; and</w:t>
      </w:r>
    </w:p>
    <w:p w14:paraId="0266A400" w14:textId="77777777" w:rsidR="001B2F3C" w:rsidRDefault="00C3671C">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UK Public Sector/CNI Contract Information.]</w:t>
      </w:r>
    </w:p>
    <w:p w14:paraId="36AE4D52" w14:textId="77777777" w:rsidR="001B2F3C" w:rsidRDefault="001B2F3C">
      <w:pPr>
        <w:ind w:left="0"/>
        <w:rPr>
          <w:sz w:val="24"/>
          <w:szCs w:val="24"/>
        </w:rPr>
      </w:pPr>
    </w:p>
    <w:p w14:paraId="57D91AE8" w14:textId="77777777" w:rsidR="001B2F3C" w:rsidRDefault="00C3671C">
      <w:pPr>
        <w:pBdr>
          <w:top w:val="nil"/>
          <w:left w:val="nil"/>
          <w:bottom w:val="nil"/>
          <w:right w:val="nil"/>
          <w:between w:val="nil"/>
        </w:pBdr>
        <w:spacing w:before="120" w:after="120"/>
        <w:ind w:left="720" w:hanging="720"/>
        <w:rPr>
          <w:b/>
          <w:color w:val="000000"/>
          <w:sz w:val="32"/>
          <w:szCs w:val="32"/>
        </w:rPr>
      </w:pPr>
      <w:r>
        <w:rPr>
          <w:b/>
          <w:color w:val="000000"/>
          <w:sz w:val="32"/>
          <w:szCs w:val="32"/>
        </w:rPr>
        <w:t>Part C:  Corporate Resolution Planning</w:t>
      </w:r>
    </w:p>
    <w:p w14:paraId="3EEA1823" w14:textId="77777777" w:rsidR="001B2F3C" w:rsidRDefault="00C3671C">
      <w:pPr>
        <w:pBdr>
          <w:top w:val="nil"/>
          <w:left w:val="nil"/>
          <w:bottom w:val="nil"/>
          <w:right w:val="nil"/>
          <w:between w:val="nil"/>
        </w:pBdr>
        <w:spacing w:before="120" w:after="120"/>
        <w:ind w:left="720" w:hanging="720"/>
        <w:rPr>
          <w:color w:val="000000"/>
          <w:sz w:val="32"/>
          <w:szCs w:val="32"/>
        </w:rPr>
      </w:pPr>
      <w:r>
        <w:rPr>
          <w:color w:val="000000"/>
          <w:sz w:val="24"/>
          <w:szCs w:val="24"/>
        </w:rPr>
        <w:lastRenderedPageBreak/>
        <w:t xml:space="preserve">This Part C shall apply to all Call-Off Contracts. </w:t>
      </w:r>
    </w:p>
    <w:p w14:paraId="35ACD919" w14:textId="77777777" w:rsidR="001B2F3C" w:rsidRDefault="00C3671C">
      <w:pPr>
        <w:keepNext/>
        <w:numPr>
          <w:ilvl w:val="0"/>
          <w:numId w:val="8"/>
        </w:numPr>
        <w:pBdr>
          <w:top w:val="nil"/>
          <w:left w:val="nil"/>
          <w:bottom w:val="nil"/>
          <w:right w:val="nil"/>
          <w:between w:val="nil"/>
        </w:pBdr>
        <w:tabs>
          <w:tab w:val="left" w:pos="0"/>
        </w:tabs>
        <w:spacing w:before="240"/>
        <w:jc w:val="left"/>
        <w:rPr>
          <w:b/>
          <w:color w:val="000000"/>
          <w:sz w:val="24"/>
          <w:szCs w:val="24"/>
        </w:rPr>
      </w:pPr>
      <w:r>
        <w:rPr>
          <w:rFonts w:ascii="Arial Bold" w:eastAsia="Arial Bold" w:hAnsi="Arial Bold" w:cs="Arial Bold"/>
          <w:b/>
          <w:color w:val="000000"/>
          <w:sz w:val="24"/>
          <w:szCs w:val="24"/>
        </w:rPr>
        <w:t>Service</w:t>
      </w:r>
      <w:r>
        <w:rPr>
          <w:b/>
          <w:color w:val="000000"/>
          <w:sz w:val="24"/>
          <w:szCs w:val="24"/>
        </w:rPr>
        <w:t xml:space="preserve"> Status and Supplier Status</w:t>
      </w:r>
    </w:p>
    <w:p w14:paraId="43115A84" w14:textId="77777777" w:rsidR="001B2F3C" w:rsidRDefault="00C3671C">
      <w:pPr>
        <w:keepNext/>
        <w:numPr>
          <w:ilvl w:val="1"/>
          <w:numId w:val="8"/>
        </w:numPr>
        <w:pBdr>
          <w:top w:val="nil"/>
          <w:left w:val="nil"/>
          <w:bottom w:val="nil"/>
          <w:right w:val="nil"/>
          <w:between w:val="nil"/>
        </w:pBdr>
        <w:tabs>
          <w:tab w:val="left" w:pos="0"/>
        </w:tabs>
        <w:spacing w:before="240"/>
        <w:ind w:left="851" w:hanging="851"/>
        <w:jc w:val="left"/>
        <w:rPr>
          <w:b/>
          <w:color w:val="000000"/>
          <w:sz w:val="24"/>
          <w:szCs w:val="24"/>
        </w:rPr>
      </w:pPr>
      <w:r>
        <w:rPr>
          <w:color w:val="000000"/>
          <w:sz w:val="24"/>
          <w:szCs w:val="24"/>
        </w:rPr>
        <w:t xml:space="preserve">This Contract </w:t>
      </w:r>
      <w:r>
        <w:rPr>
          <w:color w:val="000000"/>
          <w:sz w:val="24"/>
          <w:szCs w:val="24"/>
          <w:highlight w:val="yellow"/>
        </w:rPr>
        <w:t>[insert ‘is’ or ‘is not’</w:t>
      </w:r>
      <w:r>
        <w:rPr>
          <w:color w:val="000000"/>
          <w:sz w:val="24"/>
          <w:szCs w:val="24"/>
        </w:rPr>
        <w:t>] a Critical Service Contract.</w:t>
      </w:r>
    </w:p>
    <w:p w14:paraId="0BCA49E8"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6A81F57D" w14:textId="77777777" w:rsidR="001B2F3C" w:rsidRDefault="00C3671C">
      <w:pPr>
        <w:keepNext/>
        <w:numPr>
          <w:ilvl w:val="0"/>
          <w:numId w:val="2"/>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Provision of Corporate Resolution Planning Information</w:t>
      </w:r>
    </w:p>
    <w:p w14:paraId="16B39CB2"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Paragraphs 2 to 4 of this Part C shall apply if the Contract has been specified as a Critical Service Contract under Paragraph 1.1 of this Part C or the Supplier is or becomes a Public Sector Dependent Supplier.</w:t>
      </w:r>
    </w:p>
    <w:p w14:paraId="038F1BCE"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Subject to Paragraphs 2.6, 2.10 and 2.11 of this Part C:</w:t>
      </w:r>
    </w:p>
    <w:p w14:paraId="242A57B9"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where the Contract is a Critical Service Contract, the Supplier shall provide the Appropriate Authority or Appropriate Authorities</w:t>
      </w:r>
      <w:r>
        <w:rPr>
          <w:sz w:val="28"/>
          <w:szCs w:val="28"/>
        </w:rPr>
        <w:t xml:space="preserve"> </w:t>
      </w:r>
      <w:r>
        <w:rPr>
          <w:sz w:val="24"/>
          <w:szCs w:val="24"/>
        </w:rPr>
        <w:t>with the CRP Information within 60 days of the Effective Date; and</w:t>
      </w:r>
    </w:p>
    <w:p w14:paraId="07741C4B"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0C6E12AF"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Supplier shall ensure that the CRP Information provided pursuant to Paragraphs 2.2, 2.8 and 2.9 of this Part C:</w:t>
      </w:r>
    </w:p>
    <w:p w14:paraId="75CF8835"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is full, comprehensive, accurate and up to date;</w:t>
      </w:r>
    </w:p>
    <w:p w14:paraId="35A941C8"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is split into two parts:</w:t>
      </w:r>
    </w:p>
    <w:p w14:paraId="394D581E" w14:textId="77777777" w:rsidR="001B2F3C" w:rsidRDefault="00C3671C">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Group Structure Information and Resolution Commentary;</w:t>
      </w:r>
    </w:p>
    <w:p w14:paraId="673A5528" w14:textId="77777777" w:rsidR="001B2F3C" w:rsidRDefault="00C3671C">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43E1CCB4"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incorporates any additional commentary, supporting documents and evidence which would reasonably be required by the Appropriate Authority or Appropriate Authorities to understand and consider the information for approval;</w:t>
      </w:r>
    </w:p>
    <w:p w14:paraId="4876E1D1"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 xml:space="preserve">provides a clear description and explanation of the Supplier Group members that have agreements for goods, services or works </w:t>
      </w:r>
      <w:r>
        <w:rPr>
          <w:sz w:val="24"/>
          <w:szCs w:val="24"/>
        </w:rPr>
        <w:lastRenderedPageBreak/>
        <w:t>provision in respect of UK Public Sector Business and/or Critical National Infrastructure and the nature of those agreements; and</w:t>
      </w:r>
    </w:p>
    <w:p w14:paraId="13C1F342"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complies with the requirements set out at Appendix 1 (Group Structure Information and Resolution Commentary) and Appendix 2 (UK Public Sector / CNI Contract Information) respectively.</w:t>
      </w:r>
    </w:p>
    <w:p w14:paraId="129DE6C6"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Following receipt by the Appropriate Authority or Appropriate Authorities of the CRP Information pursuant to Paragraphs 2.2, 2.8 and 2.9 of this Part C,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w:t>
      </w:r>
      <w:r>
        <w:rPr>
          <w:color w:val="000000"/>
          <w:sz w:val="24"/>
          <w:szCs w:val="24"/>
        </w:rPr>
        <w:t>rities approves the CRP Information or that the Appropriate Authority or Appropriate Authorities rejects the CRP Information.</w:t>
      </w:r>
    </w:p>
    <w:p w14:paraId="4EAAEB75"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If the Appropriate Authority or Appropriate Authorities rejects the CRP Information:</w:t>
      </w:r>
    </w:p>
    <w:p w14:paraId="0E17C3D2"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Buyer shall (and shall procure that the Cabinet Office Markets and Suppliers Team shall) inform the Supplier in writing of its reasons for its rejection; and</w:t>
      </w:r>
    </w:p>
    <w:p w14:paraId="40BFFA60"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C shall apply again to any resubmitted CRP Information provided that either Party may refer any disputed matters</w:t>
      </w:r>
      <w:r>
        <w:rPr>
          <w:sz w:val="24"/>
          <w:szCs w:val="24"/>
        </w:rPr>
        <w:t xml:space="preserve"> for resolution by the Dispute Resolution Procedure under Clause 34 of the Core Terms at any time.</w:t>
      </w:r>
    </w:p>
    <w:p w14:paraId="1FF4F95D"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w:t>
      </w:r>
      <w:r>
        <w:rPr>
          <w:color w:val="000000"/>
          <w:sz w:val="24"/>
          <w:szCs w:val="24"/>
        </w:rPr>
        <w:t xml:space="preserve"> remains Valid (which has the meaning in paragraph 2.7 below) on the date by which the CRP Information would otherwise be required, the Supplier shall not be required to provide the CRP Information under Paragraph 2.2 of this Part C if it provides a copy of the Valid Assurance to the Appropriate Authority or Appropriate Authorities on or before the date on which the CRP Information would otherwise have been required.</w:t>
      </w:r>
    </w:p>
    <w:p w14:paraId="140F1903"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An Assurance shall be deemed Valid for the purposes of Paragraph 2.6 of this Part C if:</w:t>
      </w:r>
    </w:p>
    <w:p w14:paraId="223F52B8"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lastRenderedPageBreak/>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72553362"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49A12EF0"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If the Contract is a Critical Service Contract, the Supplier shall provide an updated version of the CRP Information (or, in the case of Paragraph 2.8.3 of this Part C its initial CRP Information) to the Appropriate Authority or Appropriate Authorities:</w:t>
      </w:r>
    </w:p>
    <w:p w14:paraId="47927C3D"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within 14 days of the occurrence of a Financial Distress Event (along with any additional highly confidential information no longer exempted from disclosure under Paragraph 2.11 of this Part C) unless the Supplier is relieved of the consequences of the Financial Distress Event under Paragraph 7.1 of Joint Schedule 7 (Financial Distress) (if applicable);</w:t>
      </w:r>
    </w:p>
    <w:p w14:paraId="59B4FBD6"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within 30 days of a Corporate Change Event unless not required pursuant to Paragraph 2.10 of this Part C;</w:t>
      </w:r>
    </w:p>
    <w:p w14:paraId="0F2E2C1E"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within 30 days of the date that:</w:t>
      </w:r>
    </w:p>
    <w:p w14:paraId="795F3989" w14:textId="77777777" w:rsidR="001B2F3C" w:rsidRDefault="00C3671C">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the credit rating(s) of each of the Supplier and its Parent Undertakings fail to meet any of the criteria specified in Paragraph 2.10 of this Part C; or</w:t>
      </w:r>
    </w:p>
    <w:p w14:paraId="552F3747" w14:textId="77777777" w:rsidR="001B2F3C" w:rsidRDefault="00C3671C">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none of the credit rating agencies specified at Paragraph 2.10 of this Part C hold a public credit rating for the Supplier or any of its Parent Undertakings; and</w:t>
      </w:r>
    </w:p>
    <w:p w14:paraId="0F687809" w14:textId="77777777" w:rsidR="001B2F3C" w:rsidRDefault="00C3671C">
      <w:pPr>
        <w:keepNext/>
        <w:numPr>
          <w:ilvl w:val="2"/>
          <w:numId w:val="2"/>
        </w:numPr>
        <w:pBdr>
          <w:top w:val="nil"/>
          <w:left w:val="nil"/>
          <w:bottom w:val="nil"/>
          <w:right w:val="nil"/>
          <w:between w:val="nil"/>
        </w:pBdr>
        <w:spacing w:before="120" w:after="120"/>
        <w:jc w:val="left"/>
        <w:rPr>
          <w:sz w:val="24"/>
          <w:szCs w:val="24"/>
        </w:rPr>
      </w:pPr>
      <w:r>
        <w:rPr>
          <w:sz w:val="24"/>
          <w:szCs w:val="24"/>
        </w:rPr>
        <w:t>in any event, within 6 months after each Accounting Reference Date or within 15 months of the date of the previous Assurance received from the Appropriate Authority (whichever is the earlier), unless:</w:t>
      </w:r>
    </w:p>
    <w:p w14:paraId="35D1B18F" w14:textId="77777777" w:rsidR="001B2F3C" w:rsidRDefault="00C3671C">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updated CRP Information has been provided under any of Paragraphs 2.8.1 2.8.2 or 2.8.3 of this Part C since the most recent Accounting Reference Date (being no more than 12 months previously) within the timescales that would ordinarily be required for the provision of that information under this Paragraph 2.8.4 of this Part C; or</w:t>
      </w:r>
    </w:p>
    <w:p w14:paraId="48958EF2" w14:textId="77777777" w:rsidR="001B2F3C" w:rsidRDefault="00C3671C">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unless not required pursuant to Paragraph 2.10 of this Part C.</w:t>
      </w:r>
    </w:p>
    <w:p w14:paraId="2C99A525"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 xml:space="preserve">Where the Supplier is a Public Sector Dependent Supplier and the Contract is not a Critical Service Contract, then on the occurrence of any of the events   specified in Paragraphs 2.8.1 to 2.8.4 of this Part C, the Supplier shall provide at the request of the Appropriate Authority or Appropriate Authorities and within the applicable timescales for each event as set out in Paragraph 2.8 (or </w:t>
      </w:r>
      <w:r>
        <w:rPr>
          <w:color w:val="000000"/>
          <w:sz w:val="24"/>
          <w:szCs w:val="24"/>
        </w:rPr>
        <w:lastRenderedPageBreak/>
        <w:t>such longer timescales as may be notified to the Supplier by the Buyer), the CRP Information to the Appropriate Authority or Appropriate Authorities.</w:t>
      </w:r>
    </w:p>
    <w:p w14:paraId="1D613E02"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Where the Supplier or a Parent Undertaking of the Supplier has a credit rating of either:</w:t>
      </w:r>
    </w:p>
    <w:p w14:paraId="369483BB"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Aa3 or better from Moody’s;</w:t>
      </w:r>
    </w:p>
    <w:p w14:paraId="7A8E6ED4"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AA- or better from Standard and Poors;</w:t>
      </w:r>
    </w:p>
    <w:p w14:paraId="453EA94F"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AA- or better from Fitch,</w:t>
      </w:r>
    </w:p>
    <w:p w14:paraId="0FF223ED" w14:textId="77777777" w:rsidR="001B2F3C" w:rsidRDefault="00C3671C">
      <w:pPr>
        <w:keepNext/>
        <w:pBdr>
          <w:top w:val="nil"/>
          <w:left w:val="nil"/>
          <w:bottom w:val="nil"/>
          <w:right w:val="nil"/>
          <w:between w:val="nil"/>
        </w:pBdr>
        <w:spacing w:before="120" w:after="120"/>
        <w:ind w:left="851"/>
        <w:jc w:val="left"/>
        <w:rPr>
          <w:sz w:val="24"/>
          <w:szCs w:val="24"/>
        </w:rPr>
      </w:pPr>
      <w:r>
        <w:rPr>
          <w:sz w:val="24"/>
          <w:szCs w:val="24"/>
        </w:rPr>
        <w:t xml:space="preserve">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w:t>
      </w:r>
      <w:r>
        <w:rPr>
          <w:color w:val="000000"/>
          <w:sz w:val="24"/>
          <w:szCs w:val="24"/>
        </w:rPr>
        <w:t>of this Part C</w:t>
      </w:r>
      <w:r>
        <w:rPr>
          <w:sz w:val="24"/>
          <w:szCs w:val="24"/>
        </w:rPr>
        <w:t xml:space="preserve">, in which cases the Supplier shall provide the updated version of the CRP Information in accordance with paragraph 2.8 </w:t>
      </w:r>
      <w:r>
        <w:rPr>
          <w:color w:val="000000"/>
          <w:sz w:val="24"/>
          <w:szCs w:val="24"/>
        </w:rPr>
        <w:t>of this Part C</w:t>
      </w:r>
      <w:r>
        <w:rPr>
          <w:sz w:val="24"/>
          <w:szCs w:val="24"/>
        </w:rPr>
        <w:t>.</w:t>
      </w:r>
    </w:p>
    <w:p w14:paraId="575907F9"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Subject to Paragraph 4 of this Part C,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w:t>
      </w:r>
      <w:r>
        <w:rPr>
          <w:color w:val="000000"/>
          <w:sz w:val="24"/>
          <w:szCs w:val="24"/>
        </w:rPr>
        <w:t>pplier shall promptly provide the relevant information to the Appropriate Authority or Appropriate Authorities to the extent required under Paragraph 2.8 of this Part C.</w:t>
      </w:r>
    </w:p>
    <w:p w14:paraId="0D93C33C" w14:textId="77777777" w:rsidR="001B2F3C" w:rsidRDefault="00C3671C">
      <w:pPr>
        <w:keepNext/>
        <w:numPr>
          <w:ilvl w:val="0"/>
          <w:numId w:val="2"/>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Termination Rights</w:t>
      </w:r>
    </w:p>
    <w:p w14:paraId="78B59E39"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Buyer shall be entitled to terminate the Contract if the Supplier is required to provide CRP Information under Paragraph 2 of this Part C and either:</w:t>
      </w:r>
    </w:p>
    <w:p w14:paraId="6A83F135"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Supplier fails to provide the CRP Information within 4 months of the Effective Date if this is a Critical Service Contract or otherwise within 4 months of the Appropriate Authority’s or Appropriate Authorities’ request; or</w:t>
      </w:r>
    </w:p>
    <w:p w14:paraId="62C96BDF"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Supplier fails to obtain an Assurance from the Appropriate Authority or Appropriate Authorities within 4 months of the date that it was first required to provide the CRP Information under the Contract,</w:t>
      </w:r>
    </w:p>
    <w:p w14:paraId="643C403F" w14:textId="77777777" w:rsidR="001B2F3C" w:rsidRDefault="00C3671C">
      <w:pPr>
        <w:pBdr>
          <w:top w:val="nil"/>
          <w:left w:val="nil"/>
          <w:bottom w:val="nil"/>
          <w:right w:val="nil"/>
          <w:between w:val="nil"/>
        </w:pBdr>
        <w:spacing w:before="120" w:after="120"/>
        <w:ind w:left="851"/>
        <w:rPr>
          <w:color w:val="000000"/>
          <w:sz w:val="24"/>
          <w:szCs w:val="24"/>
        </w:rPr>
      </w:pPr>
      <w:r>
        <w:rPr>
          <w:color w:val="000000"/>
          <w:sz w:val="24"/>
          <w:szCs w:val="24"/>
        </w:rPr>
        <w:t>which shall be deemed to be an event to which Clause 10.4.1 of the Core Terms applies and Clauses 10.6.1 and 10.6.2 of the Core Terms shall apply accordingly.</w:t>
      </w:r>
    </w:p>
    <w:p w14:paraId="7679A2DA" w14:textId="77777777" w:rsidR="001B2F3C" w:rsidRDefault="00C3671C">
      <w:pPr>
        <w:keepNext/>
        <w:numPr>
          <w:ilvl w:val="0"/>
          <w:numId w:val="2"/>
        </w:numPr>
        <w:pBdr>
          <w:top w:val="nil"/>
          <w:left w:val="nil"/>
          <w:bottom w:val="nil"/>
          <w:right w:val="nil"/>
          <w:between w:val="nil"/>
        </w:pBdr>
        <w:tabs>
          <w:tab w:val="left" w:pos="0"/>
        </w:tabs>
        <w:spacing w:before="240"/>
        <w:ind w:left="851" w:hanging="851"/>
        <w:jc w:val="left"/>
        <w:rPr>
          <w:b/>
          <w:color w:val="000000"/>
          <w:sz w:val="24"/>
          <w:szCs w:val="24"/>
        </w:rPr>
      </w:pPr>
      <w:r>
        <w:rPr>
          <w:b/>
          <w:color w:val="000000"/>
          <w:sz w:val="24"/>
          <w:szCs w:val="24"/>
        </w:rPr>
        <w:t>Confidentiality and usage of CRP Information</w:t>
      </w:r>
    </w:p>
    <w:p w14:paraId="3369699A"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 xml:space="preserve">The Buyer agrees to keep the CRP Information confidential and use it only to understand the implications of an Insolvency Event of the Supplier and/or </w:t>
      </w:r>
      <w:r>
        <w:rPr>
          <w:color w:val="000000"/>
          <w:sz w:val="24"/>
          <w:szCs w:val="24"/>
        </w:rPr>
        <w:lastRenderedPageBreak/>
        <w:t>Supplier Group members on its UK Public Sector Business and/or services in respect of CNI and to enable contingency planning to maintain service continuity for end users and protect CNI in such eventuality.</w:t>
      </w:r>
    </w:p>
    <w:p w14:paraId="6E04FBB4"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bookmarkStart w:id="32" w:name="_heading=h.23ckvvd" w:colFirst="0" w:colLast="0"/>
      <w:bookmarkEnd w:id="32"/>
      <w:r>
        <w:rPr>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C and Clause 15 of the Core Terms.</w:t>
      </w:r>
    </w:p>
    <w:p w14:paraId="50392286"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C subject, where necessary, to the Appropriate Authority or Appropriate Authorities entering into an appropriate confidentiality agreement in the form required by the third party.</w:t>
      </w:r>
    </w:p>
    <w:p w14:paraId="3AEE4B84" w14:textId="77777777" w:rsidR="001B2F3C" w:rsidRDefault="00C3671C">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Where the Supplier is unable to procure consent pursuant to Paragraph 4.3 of this Part C, the Supplier shall use all reasonable endeavours to disclose the CRP Information to the fullest extent possible by limiting the amount of information it withholds including by:</w:t>
      </w:r>
    </w:p>
    <w:p w14:paraId="62D3E2D0"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redacting only those parts of the information which are subject to such obligations of confidentiality;</w:t>
      </w:r>
    </w:p>
    <w:p w14:paraId="75B139EC" w14:textId="77777777" w:rsidR="001B2F3C" w:rsidRDefault="00C3671C">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providing the information in a form that does not breach its obligations of confidentiality including (where possible) by:</w:t>
      </w:r>
    </w:p>
    <w:p w14:paraId="2B08164F" w14:textId="77777777" w:rsidR="001B2F3C" w:rsidRDefault="00C3671C">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summarising the information;</w:t>
      </w:r>
    </w:p>
    <w:p w14:paraId="704CAD09" w14:textId="77777777" w:rsidR="001B2F3C" w:rsidRDefault="00C3671C">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grouping the information;</w:t>
      </w:r>
    </w:p>
    <w:p w14:paraId="48973864" w14:textId="77777777" w:rsidR="001B2F3C" w:rsidRDefault="00C3671C">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anonymising the information; and</w:t>
      </w:r>
    </w:p>
    <w:p w14:paraId="6C5B338F" w14:textId="77777777" w:rsidR="001B2F3C" w:rsidRDefault="00C3671C">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presenting the information in general terms</w:t>
      </w:r>
    </w:p>
    <w:p w14:paraId="01D5EFFC" w14:textId="77777777" w:rsidR="001B2F3C" w:rsidRDefault="00C3671C">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076453EB" w14:textId="77777777" w:rsidR="001B2F3C" w:rsidRDefault="001B2F3C">
      <w:pPr>
        <w:pBdr>
          <w:top w:val="nil"/>
          <w:left w:val="nil"/>
          <w:bottom w:val="nil"/>
          <w:right w:val="nil"/>
          <w:between w:val="nil"/>
        </w:pBdr>
        <w:spacing w:before="120" w:after="120"/>
        <w:ind w:left="720" w:hanging="720"/>
        <w:rPr>
          <w:rFonts w:ascii="Calibri" w:eastAsia="Calibri" w:hAnsi="Calibri" w:cs="Calibri"/>
          <w:color w:val="000000"/>
        </w:rPr>
      </w:pPr>
    </w:p>
    <w:p w14:paraId="2EF408C9" w14:textId="77777777" w:rsidR="001B2F3C" w:rsidRDefault="00C3671C">
      <w:pPr>
        <w:ind w:left="0"/>
      </w:pPr>
      <w:r>
        <w:br w:type="page"/>
      </w:r>
    </w:p>
    <w:p w14:paraId="6301CA25" w14:textId="77777777" w:rsidR="001B2F3C" w:rsidRDefault="00C3671C">
      <w:pPr>
        <w:ind w:left="0"/>
        <w:rPr>
          <w:b/>
          <w:sz w:val="32"/>
          <w:szCs w:val="32"/>
        </w:rPr>
      </w:pPr>
      <w:r>
        <w:rPr>
          <w:b/>
          <w:sz w:val="32"/>
          <w:szCs w:val="32"/>
        </w:rPr>
        <w:lastRenderedPageBreak/>
        <w:t>Appendix 1: Group structure information and resolution commentary</w:t>
      </w:r>
    </w:p>
    <w:p w14:paraId="56B4D4CE" w14:textId="77777777" w:rsidR="001B2F3C" w:rsidRDefault="00C3671C">
      <w:pPr>
        <w:numPr>
          <w:ilvl w:val="0"/>
          <w:numId w:val="3"/>
        </w:numPr>
        <w:pBdr>
          <w:top w:val="nil"/>
          <w:left w:val="nil"/>
          <w:bottom w:val="nil"/>
          <w:right w:val="nil"/>
          <w:between w:val="nil"/>
        </w:pBdr>
        <w:ind w:left="851" w:hanging="851"/>
        <w:rPr>
          <w:color w:val="000000"/>
          <w:sz w:val="24"/>
          <w:szCs w:val="24"/>
        </w:rPr>
      </w:pPr>
      <w:r>
        <w:rPr>
          <w:color w:val="000000"/>
          <w:sz w:val="24"/>
          <w:szCs w:val="24"/>
        </w:rPr>
        <w:t>The Supplier shall:</w:t>
      </w:r>
    </w:p>
    <w:p w14:paraId="7254BF72" w14:textId="77777777" w:rsidR="001B2F3C" w:rsidRDefault="00C3671C">
      <w:pPr>
        <w:numPr>
          <w:ilvl w:val="1"/>
          <w:numId w:val="3"/>
        </w:numPr>
        <w:pBdr>
          <w:top w:val="nil"/>
          <w:left w:val="nil"/>
          <w:bottom w:val="nil"/>
          <w:right w:val="nil"/>
          <w:between w:val="nil"/>
        </w:pBdr>
        <w:ind w:left="851" w:hanging="851"/>
        <w:rPr>
          <w:color w:val="000000"/>
          <w:sz w:val="24"/>
          <w:szCs w:val="24"/>
        </w:rPr>
      </w:pPr>
      <w:r>
        <w:rPr>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384165BC" w14:textId="77777777" w:rsidR="001B2F3C" w:rsidRDefault="00C3671C">
      <w:pPr>
        <w:numPr>
          <w:ilvl w:val="1"/>
          <w:numId w:val="3"/>
        </w:numPr>
        <w:pBdr>
          <w:top w:val="nil"/>
          <w:left w:val="nil"/>
          <w:bottom w:val="nil"/>
          <w:right w:val="nil"/>
          <w:between w:val="nil"/>
        </w:pBdr>
        <w:ind w:left="851" w:hanging="851"/>
        <w:rPr>
          <w:color w:val="000000"/>
          <w:sz w:val="24"/>
          <w:szCs w:val="24"/>
        </w:rPr>
      </w:pPr>
      <w:r>
        <w:rPr>
          <w:color w:val="000000"/>
          <w:sz w:val="24"/>
          <w:szCs w:val="24"/>
        </w:rPr>
        <w:t>ensure that the information is presented so as to provide a simple, effective and easily understood overview of the Supplier Group; and</w:t>
      </w:r>
    </w:p>
    <w:p w14:paraId="3FE8B7BC" w14:textId="77777777" w:rsidR="001B2F3C" w:rsidRDefault="00C3671C">
      <w:pPr>
        <w:numPr>
          <w:ilvl w:val="1"/>
          <w:numId w:val="3"/>
        </w:numPr>
        <w:pBdr>
          <w:top w:val="nil"/>
          <w:left w:val="nil"/>
          <w:bottom w:val="nil"/>
          <w:right w:val="nil"/>
          <w:between w:val="nil"/>
        </w:pBdr>
        <w:ind w:left="851" w:hanging="851"/>
        <w:rPr>
          <w:color w:val="000000"/>
          <w:sz w:val="24"/>
          <w:szCs w:val="24"/>
        </w:rPr>
      </w:pPr>
      <w:r>
        <w:rPr>
          <w:color w:val="000000"/>
          <w:sz w:val="24"/>
          <w:szCs w:val="24"/>
        </w:rPr>
        <w:t>provide full details of the importance of each member of the Supplier Group to the Supplier Group’s UK Public Sector Business and CNI contracts listed pursuant to Appendix 2 and the dependencies between each.</w:t>
      </w:r>
    </w:p>
    <w:p w14:paraId="5DDD8A5A" w14:textId="77777777" w:rsidR="001B2F3C" w:rsidRDefault="00C3671C">
      <w:pPr>
        <w:ind w:firstLine="1418"/>
      </w:pPr>
      <w:r>
        <w:br w:type="page"/>
      </w:r>
    </w:p>
    <w:p w14:paraId="17117D7C" w14:textId="77777777" w:rsidR="001B2F3C" w:rsidRDefault="00C3671C">
      <w:pPr>
        <w:ind w:left="0"/>
        <w:rPr>
          <w:b/>
          <w:sz w:val="32"/>
          <w:szCs w:val="32"/>
        </w:rPr>
      </w:pPr>
      <w:r>
        <w:rPr>
          <w:b/>
          <w:sz w:val="32"/>
          <w:szCs w:val="32"/>
        </w:rPr>
        <w:lastRenderedPageBreak/>
        <w:t>Appendix 2: UK Public Sector / CNI Contract Information</w:t>
      </w:r>
    </w:p>
    <w:p w14:paraId="1507A8E9" w14:textId="77777777" w:rsidR="001B2F3C" w:rsidRDefault="00C3671C">
      <w:pPr>
        <w:numPr>
          <w:ilvl w:val="0"/>
          <w:numId w:val="4"/>
        </w:numPr>
        <w:pBdr>
          <w:top w:val="nil"/>
          <w:left w:val="nil"/>
          <w:bottom w:val="nil"/>
          <w:right w:val="nil"/>
          <w:between w:val="nil"/>
        </w:pBdr>
        <w:ind w:left="851" w:hanging="851"/>
        <w:rPr>
          <w:color w:val="000000"/>
          <w:sz w:val="24"/>
          <w:szCs w:val="24"/>
        </w:rPr>
      </w:pPr>
      <w:r>
        <w:rPr>
          <w:color w:val="000000"/>
          <w:sz w:val="24"/>
          <w:szCs w:val="24"/>
        </w:rPr>
        <w:t>The Supplier shall:</w:t>
      </w:r>
    </w:p>
    <w:p w14:paraId="61E7A239" w14:textId="77777777" w:rsidR="001B2F3C" w:rsidRDefault="00C3671C">
      <w:pPr>
        <w:numPr>
          <w:ilvl w:val="1"/>
          <w:numId w:val="4"/>
        </w:numPr>
        <w:pBdr>
          <w:top w:val="nil"/>
          <w:left w:val="nil"/>
          <w:bottom w:val="nil"/>
          <w:right w:val="nil"/>
          <w:between w:val="nil"/>
        </w:pBdr>
        <w:ind w:left="851" w:hanging="851"/>
        <w:rPr>
          <w:color w:val="000000"/>
          <w:sz w:val="24"/>
          <w:szCs w:val="24"/>
        </w:rPr>
      </w:pPr>
      <w:r>
        <w:rPr>
          <w:color w:val="000000"/>
          <w:sz w:val="24"/>
          <w:szCs w:val="24"/>
        </w:rPr>
        <w:t>provide details of all agreements held by members of the Supplier Group where those agreements are for goods, services or works provision and:</w:t>
      </w:r>
    </w:p>
    <w:p w14:paraId="0E474BA9" w14:textId="77777777" w:rsidR="001B2F3C" w:rsidRDefault="00C3671C">
      <w:pPr>
        <w:numPr>
          <w:ilvl w:val="2"/>
          <w:numId w:val="4"/>
        </w:numPr>
        <w:pBdr>
          <w:top w:val="nil"/>
          <w:left w:val="nil"/>
          <w:bottom w:val="nil"/>
          <w:right w:val="nil"/>
          <w:between w:val="nil"/>
        </w:pBdr>
        <w:ind w:left="1701" w:hanging="850"/>
        <w:rPr>
          <w:color w:val="000000"/>
          <w:sz w:val="24"/>
          <w:szCs w:val="24"/>
        </w:rPr>
      </w:pPr>
      <w:r>
        <w:rPr>
          <w:color w:val="000000"/>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602E5BE6" w14:textId="77777777" w:rsidR="001B2F3C" w:rsidRDefault="00C3671C">
      <w:pPr>
        <w:numPr>
          <w:ilvl w:val="2"/>
          <w:numId w:val="4"/>
        </w:numPr>
        <w:pBdr>
          <w:top w:val="nil"/>
          <w:left w:val="nil"/>
          <w:bottom w:val="nil"/>
          <w:right w:val="nil"/>
          <w:between w:val="nil"/>
        </w:pBdr>
        <w:ind w:left="1701" w:hanging="850"/>
        <w:rPr>
          <w:color w:val="000000"/>
          <w:sz w:val="24"/>
          <w:szCs w:val="24"/>
        </w:rPr>
      </w:pPr>
      <w:r>
        <w:rPr>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6D8867A9" w14:textId="77777777" w:rsidR="001B2F3C" w:rsidRDefault="00C3671C">
      <w:pPr>
        <w:numPr>
          <w:ilvl w:val="2"/>
          <w:numId w:val="4"/>
        </w:numPr>
        <w:pBdr>
          <w:top w:val="nil"/>
          <w:left w:val="nil"/>
          <w:bottom w:val="nil"/>
          <w:right w:val="nil"/>
          <w:between w:val="nil"/>
        </w:pBdr>
        <w:ind w:left="1701" w:hanging="850"/>
        <w:rPr>
          <w:color w:val="000000"/>
          <w:sz w:val="24"/>
          <w:szCs w:val="24"/>
        </w:rPr>
      </w:pPr>
      <w:r>
        <w:rPr>
          <w:color w:val="000000"/>
          <w:sz w:val="24"/>
          <w:szCs w:val="24"/>
        </w:rPr>
        <w:t>involve or could reasonably be considered to involve CNI;</w:t>
      </w:r>
    </w:p>
    <w:p w14:paraId="24FDA7D2" w14:textId="77777777" w:rsidR="001B2F3C" w:rsidRDefault="00C3671C">
      <w:pPr>
        <w:numPr>
          <w:ilvl w:val="1"/>
          <w:numId w:val="4"/>
        </w:numPr>
        <w:pBdr>
          <w:top w:val="nil"/>
          <w:left w:val="nil"/>
          <w:bottom w:val="nil"/>
          <w:right w:val="nil"/>
          <w:between w:val="nil"/>
        </w:pBdr>
        <w:ind w:left="851" w:hanging="851"/>
        <w:rPr>
          <w:color w:val="000000"/>
          <w:sz w:val="24"/>
          <w:szCs w:val="24"/>
        </w:rPr>
      </w:pPr>
      <w:r>
        <w:rPr>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321BECA5" w14:textId="77777777" w:rsidR="001B2F3C" w:rsidRDefault="001B2F3C">
      <w:pPr>
        <w:pBdr>
          <w:top w:val="nil"/>
          <w:left w:val="nil"/>
          <w:bottom w:val="nil"/>
          <w:right w:val="nil"/>
          <w:between w:val="nil"/>
        </w:pBdr>
        <w:tabs>
          <w:tab w:val="left" w:pos="1985"/>
          <w:tab w:val="left" w:pos="2127"/>
        </w:tabs>
        <w:spacing w:before="120" w:after="120"/>
        <w:ind w:left="1656"/>
        <w:rPr>
          <w:rFonts w:ascii="Calibri" w:eastAsia="Calibri" w:hAnsi="Calibri" w:cs="Calibri"/>
          <w:color w:val="000000"/>
          <w:sz w:val="24"/>
          <w:szCs w:val="24"/>
        </w:rPr>
      </w:pPr>
    </w:p>
    <w:sectPr w:rsidR="001B2F3C">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BEB0" w14:textId="77777777" w:rsidR="00C3671C" w:rsidRDefault="00C3671C">
      <w:pPr>
        <w:spacing w:after="0"/>
      </w:pPr>
      <w:r>
        <w:separator/>
      </w:r>
    </w:p>
  </w:endnote>
  <w:endnote w:type="continuationSeparator" w:id="0">
    <w:p w14:paraId="6748554D" w14:textId="77777777" w:rsidR="00C3671C" w:rsidRDefault="00C36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B559" w14:textId="77777777" w:rsidR="001B2F3C" w:rsidRDefault="001B2F3C">
    <w:pPr>
      <w:tabs>
        <w:tab w:val="center" w:pos="4513"/>
        <w:tab w:val="right" w:pos="9026"/>
      </w:tabs>
      <w:spacing w:after="0"/>
      <w:ind w:left="0"/>
      <w:rPr>
        <w:rFonts w:ascii="Calibri" w:eastAsia="Calibri" w:hAnsi="Calibri" w:cs="Calibri"/>
        <w:color w:val="A6A6A6"/>
      </w:rPr>
    </w:pPr>
  </w:p>
  <w:p w14:paraId="5024D8E5" w14:textId="77777777" w:rsidR="001B2F3C" w:rsidRDefault="00C3671C">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 xml:space="preserve">Framework Ref: </w:t>
    </w:r>
    <w:r>
      <w:rPr>
        <w:sz w:val="20"/>
        <w:szCs w:val="20"/>
      </w:rPr>
      <w:t>RM6261</w:t>
    </w:r>
  </w:p>
  <w:p w14:paraId="30A1A08F" w14:textId="77777777" w:rsidR="001B2F3C" w:rsidRDefault="00C3671C">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43995FD9" w14:textId="77777777" w:rsidR="001B2F3C" w:rsidRDefault="00C3671C">
    <w:pPr>
      <w:pBdr>
        <w:top w:val="nil"/>
        <w:left w:val="nil"/>
        <w:bottom w:val="nil"/>
        <w:right w:val="nil"/>
        <w:between w:val="nil"/>
      </w:pBdr>
      <w:tabs>
        <w:tab w:val="center" w:pos="4513"/>
        <w:tab w:val="right" w:pos="9026"/>
      </w:tabs>
      <w:spacing w:after="0"/>
      <w:ind w:left="0"/>
      <w:rPr>
        <w:color w:val="A6A6A6"/>
        <w:sz w:val="20"/>
        <w:szCs w:val="20"/>
      </w:rPr>
    </w:pPr>
    <w:r>
      <w:rPr>
        <w:color w:val="000000"/>
        <w:sz w:val="20"/>
        <w:szCs w:val="20"/>
      </w:rPr>
      <w:t>Model Version: v3.</w:t>
    </w:r>
    <w:r>
      <w:rPr>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5410" w14:textId="77777777" w:rsidR="001B2F3C" w:rsidRDefault="00C3671C">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r>
    <w:r>
      <w:rPr>
        <w:color w:val="000000"/>
        <w:sz w:val="20"/>
        <w:szCs w:val="20"/>
      </w:rPr>
      <w:t xml:space="preserve">                                           </w:t>
    </w:r>
  </w:p>
  <w:p w14:paraId="2726DD21" w14:textId="77777777" w:rsidR="001B2F3C" w:rsidRDefault="00C3671C">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w:t>
    </w:r>
  </w:p>
  <w:p w14:paraId="18FE035F" w14:textId="77777777" w:rsidR="001B2F3C" w:rsidRDefault="00C3671C">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A8D7" w14:textId="77777777" w:rsidR="00C3671C" w:rsidRDefault="00C3671C">
      <w:pPr>
        <w:spacing w:after="0"/>
      </w:pPr>
      <w:r>
        <w:separator/>
      </w:r>
    </w:p>
  </w:footnote>
  <w:footnote w:type="continuationSeparator" w:id="0">
    <w:p w14:paraId="66700854" w14:textId="77777777" w:rsidR="00C3671C" w:rsidRDefault="00C367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0016" w14:textId="77777777" w:rsidR="001B2F3C" w:rsidRDefault="00C3671C">
    <w:pPr>
      <w:tabs>
        <w:tab w:val="center" w:pos="4513"/>
        <w:tab w:val="right" w:pos="9026"/>
      </w:tabs>
      <w:spacing w:after="0"/>
      <w:ind w:left="0"/>
      <w:jc w:val="left"/>
      <w:rPr>
        <w:sz w:val="20"/>
        <w:szCs w:val="20"/>
      </w:rPr>
    </w:pPr>
    <w:r>
      <w:rPr>
        <w:b/>
        <w:sz w:val="20"/>
        <w:szCs w:val="20"/>
      </w:rPr>
      <w:t>Call-Off Schedule 8 (Business Continuity and Disaster Recovery)</w:t>
    </w:r>
  </w:p>
  <w:p w14:paraId="6C3252A3" w14:textId="77777777" w:rsidR="001B2F3C" w:rsidRDefault="00C3671C">
    <w:pPr>
      <w:tabs>
        <w:tab w:val="center" w:pos="4513"/>
        <w:tab w:val="right" w:pos="9026"/>
      </w:tabs>
      <w:spacing w:after="0"/>
      <w:ind w:left="0"/>
      <w:jc w:val="left"/>
      <w:rPr>
        <w:sz w:val="20"/>
        <w:szCs w:val="20"/>
      </w:rPr>
    </w:pPr>
    <w:r>
      <w:rPr>
        <w:sz w:val="20"/>
        <w:szCs w:val="20"/>
      </w:rPr>
      <w:t>Call-Off Ref:</w:t>
    </w:r>
  </w:p>
  <w:p w14:paraId="619920C9" w14:textId="77777777" w:rsidR="001B2F3C" w:rsidRDefault="00C3671C">
    <w:pPr>
      <w:tabs>
        <w:tab w:val="center" w:pos="4513"/>
        <w:tab w:val="right" w:pos="9026"/>
      </w:tabs>
      <w:spacing w:after="0"/>
      <w:ind w:left="0"/>
      <w:jc w:val="left"/>
      <w:rPr>
        <w:sz w:val="20"/>
        <w:szCs w:val="20"/>
      </w:rPr>
    </w:pPr>
    <w:r>
      <w:rPr>
        <w:sz w:val="20"/>
        <w:szCs w:val="20"/>
      </w:rPr>
      <w:t>Crown Copyright 2022</w:t>
    </w:r>
  </w:p>
  <w:p w14:paraId="4A8BBCAD" w14:textId="77777777" w:rsidR="001B2F3C" w:rsidRDefault="001B2F3C">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FBA"/>
    <w:multiLevelType w:val="multilevel"/>
    <w:tmpl w:val="A2D8AA9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11A10896"/>
    <w:multiLevelType w:val="multilevel"/>
    <w:tmpl w:val="0C56B18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 w15:restartNumberingAfterBreak="0">
    <w:nsid w:val="237E6498"/>
    <w:multiLevelType w:val="multilevel"/>
    <w:tmpl w:val="E988A5F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 w15:restartNumberingAfterBreak="0">
    <w:nsid w:val="363F4511"/>
    <w:multiLevelType w:val="multilevel"/>
    <w:tmpl w:val="DED8BE4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b w:val="0"/>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3EB02232"/>
    <w:multiLevelType w:val="multilevel"/>
    <w:tmpl w:val="3032724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 w15:restartNumberingAfterBreak="0">
    <w:nsid w:val="4B7A45E4"/>
    <w:multiLevelType w:val="multilevel"/>
    <w:tmpl w:val="EF16E836"/>
    <w:lvl w:ilvl="0">
      <w:start w:val="1"/>
      <w:numFmt w:val="decimal"/>
      <w:pStyle w:val="GPsDefinition"/>
      <w:lvlText w:val="%1."/>
      <w:lvlJc w:val="left"/>
      <w:pPr>
        <w:ind w:left="720" w:hanging="720"/>
      </w:pPr>
      <w:rPr>
        <w:smallCaps w:val="0"/>
        <w:strike w:val="0"/>
        <w:color w:val="000000"/>
        <w:u w:val="none"/>
        <w:vertAlign w:val="baseline"/>
      </w:rPr>
    </w:lvl>
    <w:lvl w:ilvl="1">
      <w:start w:val="1"/>
      <w:numFmt w:val="decimal"/>
      <w:pStyle w:val="GPSDefinitionL2"/>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GPSDefinitionL3"/>
      <w:lvlText w:val="%1.%2.%3"/>
      <w:lvlJc w:val="left"/>
      <w:pPr>
        <w:ind w:left="1440" w:hanging="720"/>
      </w:pPr>
      <w:rPr>
        <w:i w:val="0"/>
        <w:smallCaps w:val="0"/>
        <w:strike w:val="0"/>
        <w:color w:val="000000"/>
        <w:u w:val="none"/>
        <w:vertAlign w:val="baseline"/>
      </w:rPr>
    </w:lvl>
    <w:lvl w:ilvl="3">
      <w:start w:val="1"/>
      <w:numFmt w:val="lowerLetter"/>
      <w:pStyle w:val="GPSDefinitionL4"/>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 w15:restartNumberingAfterBreak="0">
    <w:nsid w:val="560F51F5"/>
    <w:multiLevelType w:val="multilevel"/>
    <w:tmpl w:val="C38A25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930F71"/>
    <w:multiLevelType w:val="multilevel"/>
    <w:tmpl w:val="1F1CE00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4C407D6"/>
    <w:multiLevelType w:val="multilevel"/>
    <w:tmpl w:val="A6360DC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9" w15:restartNumberingAfterBreak="0">
    <w:nsid w:val="77E85EAE"/>
    <w:multiLevelType w:val="multilevel"/>
    <w:tmpl w:val="2DB27F1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0673516">
    <w:abstractNumId w:val="8"/>
  </w:num>
  <w:num w:numId="2" w16cid:durableId="932784628">
    <w:abstractNumId w:val="5"/>
  </w:num>
  <w:num w:numId="3" w16cid:durableId="482548242">
    <w:abstractNumId w:val="2"/>
  </w:num>
  <w:num w:numId="4" w16cid:durableId="1368217011">
    <w:abstractNumId w:val="1"/>
  </w:num>
  <w:num w:numId="5" w16cid:durableId="585655279">
    <w:abstractNumId w:val="7"/>
  </w:num>
  <w:num w:numId="6" w16cid:durableId="1368750163">
    <w:abstractNumId w:val="4"/>
  </w:num>
  <w:num w:numId="7" w16cid:durableId="606162608">
    <w:abstractNumId w:val="9"/>
  </w:num>
  <w:num w:numId="8" w16cid:durableId="805437599">
    <w:abstractNumId w:val="3"/>
  </w:num>
  <w:num w:numId="9" w16cid:durableId="523633597">
    <w:abstractNumId w:val="0"/>
  </w:num>
  <w:num w:numId="10" w16cid:durableId="774594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3C"/>
    <w:rsid w:val="001B2F3C"/>
    <w:rsid w:val="006164A4"/>
    <w:rsid w:val="00C36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4096CD"/>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64"/>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tabs>
        <w:tab w:val="left" w:pos="0"/>
      </w:tabs>
      <w:overflowPunct/>
      <w:autoSpaceDE/>
      <w:autoSpaceDN/>
      <w:spacing w:before="240"/>
      <w:ind w:left="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overflowPunct/>
      <w:autoSpaceDE/>
      <w:autoSpaceDN/>
      <w:spacing w:before="120" w:after="120"/>
      <w:ind w:left="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53882"/>
    <w:pPr>
      <w:ind w:left="720"/>
      <w:contextualSpacing/>
    </w:p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R7uPM1ZajFBY1Ys+fZEFHcqqQ==">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6345</Words>
  <Characters>36172</Characters>
  <Application>Microsoft Office Word</Application>
  <DocSecurity>4</DocSecurity>
  <Lines>301</Lines>
  <Paragraphs>84</Paragraphs>
  <ScaleCrop>false</ScaleCrop>
  <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Court</cp:lastModifiedBy>
  <cp:revision>2</cp:revision>
  <dcterms:created xsi:type="dcterms:W3CDTF">2025-06-18T14:20:00Z</dcterms:created>
  <dcterms:modified xsi:type="dcterms:W3CDTF">2025-06-18T14:20:00Z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