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74A74" w14:textId="77777777" w:rsidR="001168AD" w:rsidRDefault="001168AD">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bookmarkStart w:id="0" w:name="_heading=h.1pxezwc" w:colFirst="0" w:colLast="0"/>
      <w:bookmarkEnd w:id="0"/>
    </w:p>
    <w:p w14:paraId="33300ED8" w14:textId="77777777" w:rsidR="001168AD" w:rsidRDefault="00306694">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55B651FA" w14:textId="77777777" w:rsidR="001168AD" w:rsidRDefault="00306694">
      <w:pPr>
        <w:numPr>
          <w:ilvl w:val="0"/>
          <w:numId w:val="4"/>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4E73D809" w14:textId="77777777" w:rsidR="001168AD" w:rsidRDefault="00306694">
      <w:pPr>
        <w:numPr>
          <w:ilvl w:val="1"/>
          <w:numId w:val="4"/>
        </w:numPr>
        <w:pBdr>
          <w:top w:val="nil"/>
          <w:left w:val="nil"/>
          <w:bottom w:val="nil"/>
          <w:right w:val="nil"/>
          <w:between w:val="nil"/>
        </w:pBdr>
        <w:tabs>
          <w:tab w:val="left" w:pos="1134"/>
          <w:tab w:val="left" w:pos="1134"/>
        </w:tabs>
        <w:spacing w:before="120" w:after="120" w:line="240" w:lineRule="auto"/>
        <w:jc w:val="left"/>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In this Schedule, the following words shall have the following meanings and they shall supplement Joint Schedule 1 (Definitions):</w:t>
      </w:r>
    </w:p>
    <w:tbl>
      <w:tblPr>
        <w:tblStyle w:val="a2"/>
        <w:tblW w:w="8190" w:type="dxa"/>
        <w:tblInd w:w="82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745"/>
        <w:gridCol w:w="5445"/>
      </w:tblGrid>
      <w:tr w:rsidR="001168AD" w14:paraId="11D53F47" w14:textId="77777777">
        <w:tc>
          <w:tcPr>
            <w:tcW w:w="2745" w:type="dxa"/>
          </w:tcPr>
          <w:p w14:paraId="4D33A08B"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45" w:type="dxa"/>
          </w:tcPr>
          <w:p w14:paraId="50A2D514"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property, other than real property and IPR, including the Buyer System, any equipment issued or made available to the Supplier by the Buyer in connection with this Contract;</w:t>
            </w:r>
          </w:p>
        </w:tc>
      </w:tr>
      <w:tr w:rsidR="001168AD" w14:paraId="508F141E" w14:textId="77777777">
        <w:tc>
          <w:tcPr>
            <w:tcW w:w="2745" w:type="dxa"/>
          </w:tcPr>
          <w:p w14:paraId="3CE9468F"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"Buyer Software"</w:t>
            </w:r>
          </w:p>
        </w:tc>
        <w:tc>
          <w:tcPr>
            <w:tcW w:w="5445" w:type="dxa"/>
          </w:tcPr>
          <w:p w14:paraId="5C44A587"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any software which is owned by or licensed to the Buyer and which is or will be used by the Supplier for the purposes of providing the Deliverables;</w:t>
            </w:r>
          </w:p>
        </w:tc>
      </w:tr>
      <w:tr w:rsidR="001168AD" w14:paraId="097A6F8B" w14:textId="77777777">
        <w:tc>
          <w:tcPr>
            <w:tcW w:w="2745" w:type="dxa"/>
          </w:tcPr>
          <w:p w14:paraId="1C03A834"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"Buyer System"</w:t>
            </w:r>
          </w:p>
        </w:tc>
        <w:tc>
          <w:tcPr>
            <w:tcW w:w="5445" w:type="dxa"/>
          </w:tcPr>
          <w:p w14:paraId="53589C8B"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1168AD" w14:paraId="3E62D8AA" w14:textId="77777777">
        <w:tc>
          <w:tcPr>
            <w:tcW w:w="2745" w:type="dxa"/>
          </w:tcPr>
          <w:p w14:paraId="3915E251"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“Commercial off the shelf Software” or “COTS Software”</w:t>
            </w:r>
          </w:p>
        </w:tc>
        <w:tc>
          <w:tcPr>
            <w:tcW w:w="5445" w:type="dxa"/>
          </w:tcPr>
          <w:p w14:paraId="17980775"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1168AD" w14:paraId="08CA266F" w14:textId="77777777">
        <w:tc>
          <w:tcPr>
            <w:tcW w:w="2745" w:type="dxa"/>
          </w:tcPr>
          <w:p w14:paraId="711EBE55"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“Core Network”</w:t>
            </w:r>
          </w:p>
        </w:tc>
        <w:tc>
          <w:tcPr>
            <w:tcW w:w="5445" w:type="dxa"/>
          </w:tcPr>
          <w:p w14:paraId="4378B525" w14:textId="77777777" w:rsidR="001168AD" w:rsidRDefault="00306694">
            <w:pP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the provision of any shared central core network capability forming part of the overall Services delivered to the Buyer, which is not specific or exclusive to a specific Call-Off Contract, and excludes any configuration information specifically associated with a specific Call_Off Contract; </w:t>
            </w:r>
          </w:p>
        </w:tc>
      </w:tr>
      <w:tr w:rsidR="001168AD" w14:paraId="525ACB79" w14:textId="77777777">
        <w:tc>
          <w:tcPr>
            <w:tcW w:w="2745" w:type="dxa"/>
          </w:tcPr>
          <w:p w14:paraId="4E312992"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"Defect"</w:t>
            </w:r>
          </w:p>
        </w:tc>
        <w:tc>
          <w:tcPr>
            <w:tcW w:w="5445" w:type="dxa"/>
          </w:tcPr>
          <w:p w14:paraId="4F149730" w14:textId="77777777" w:rsidR="001168AD" w:rsidRDefault="00306694">
            <w:pPr>
              <w:pBdr>
                <w:top w:val="nil"/>
                <w:left w:val="nil"/>
                <w:bottom w:val="nil"/>
                <w:right w:val="nil"/>
                <w:between w:val="nil"/>
              </w:pBdr>
              <w:tabs>
                <w:tab w:val="left" w:pos="-9"/>
              </w:tabs>
              <w:spacing w:after="120" w:line="240" w:lineRule="auto"/>
              <w:ind w:left="170" w:hanging="170"/>
              <w:jc w:val="left"/>
              <w:rPr>
                <w:rFonts w:ascii="Arial" w:eastAsia="Arial" w:hAnsi="Arial" w:cs="Arial"/>
                <w:b w:val="0"/>
                <w:color w:val="000000"/>
                <w:sz w:val="24"/>
                <w:szCs w:val="24"/>
              </w:rPr>
            </w:pPr>
            <w:r>
              <w:rPr>
                <w:rFonts w:ascii="Arial" w:eastAsia="Arial" w:hAnsi="Arial" w:cs="Arial"/>
                <w:b w:val="0"/>
                <w:color w:val="000000"/>
                <w:sz w:val="24"/>
                <w:szCs w:val="24"/>
              </w:rPr>
              <w:t xml:space="preserve">any of the following: </w:t>
            </w:r>
          </w:p>
          <w:p w14:paraId="63F8DB69" w14:textId="77777777" w:rsidR="001168AD" w:rsidRDefault="00306694">
            <w:pPr>
              <w:numPr>
                <w:ilvl w:val="1"/>
                <w:numId w:val="3"/>
              </w:numPr>
              <w:pBdr>
                <w:top w:val="nil"/>
                <w:left w:val="nil"/>
                <w:bottom w:val="nil"/>
                <w:right w:val="nil"/>
                <w:between w:val="nil"/>
              </w:pBdr>
              <w:tabs>
                <w:tab w:val="left" w:pos="144"/>
              </w:tabs>
              <w:spacing w:after="120" w:line="240" w:lineRule="auto"/>
              <w:ind w:left="342" w:hanging="342"/>
              <w:jc w:val="left"/>
              <w:rPr>
                <w:rFonts w:ascii="Arial" w:eastAsia="Arial" w:hAnsi="Arial" w:cs="Arial"/>
                <w:color w:val="000000"/>
                <w:sz w:val="24"/>
                <w:szCs w:val="24"/>
              </w:rPr>
            </w:pPr>
            <w:r>
              <w:rPr>
                <w:rFonts w:ascii="Arial" w:eastAsia="Arial" w:hAnsi="Arial" w:cs="Arial"/>
                <w:b w:val="0"/>
                <w:color w:val="000000"/>
                <w:sz w:val="24"/>
                <w:szCs w:val="24"/>
              </w:rPr>
              <w:t>any error, damage or defect in the manufacturing of a Deliverable; or</w:t>
            </w:r>
          </w:p>
          <w:p w14:paraId="5D063637" w14:textId="77777777" w:rsidR="001168AD" w:rsidRDefault="00306694">
            <w:pPr>
              <w:numPr>
                <w:ilvl w:val="1"/>
                <w:numId w:val="3"/>
              </w:numPr>
              <w:pBdr>
                <w:top w:val="nil"/>
                <w:left w:val="nil"/>
                <w:bottom w:val="nil"/>
                <w:right w:val="nil"/>
                <w:between w:val="nil"/>
              </w:pBdr>
              <w:tabs>
                <w:tab w:val="left" w:pos="144"/>
              </w:tabs>
              <w:spacing w:after="120" w:line="240" w:lineRule="auto"/>
              <w:ind w:left="342" w:hanging="342"/>
              <w:jc w:val="left"/>
              <w:rPr>
                <w:rFonts w:ascii="Arial" w:eastAsia="Arial" w:hAnsi="Arial" w:cs="Arial"/>
                <w:color w:val="000000"/>
                <w:sz w:val="24"/>
                <w:szCs w:val="24"/>
              </w:rPr>
            </w:pPr>
            <w:r>
              <w:rPr>
                <w:rFonts w:ascii="Arial" w:eastAsia="Arial" w:hAnsi="Arial" w:cs="Arial"/>
                <w:b w:val="0"/>
                <w:color w:val="000000"/>
                <w:sz w:val="24"/>
                <w:szCs w:val="24"/>
              </w:rPr>
              <w:t xml:space="preserve">any error or failure of code within the Software which causes a Deliverable to </w:t>
            </w:r>
            <w:r>
              <w:rPr>
                <w:rFonts w:ascii="Arial" w:eastAsia="Arial" w:hAnsi="Arial" w:cs="Arial"/>
                <w:b w:val="0"/>
                <w:color w:val="000000"/>
                <w:sz w:val="24"/>
                <w:szCs w:val="24"/>
              </w:rPr>
              <w:lastRenderedPageBreak/>
              <w:t>malfunction or to produce unintelligible or incorrect results; or</w:t>
            </w:r>
          </w:p>
        </w:tc>
      </w:tr>
      <w:tr w:rsidR="001168AD" w14:paraId="2A5D6D2C" w14:textId="77777777">
        <w:tc>
          <w:tcPr>
            <w:tcW w:w="2745" w:type="dxa"/>
          </w:tcPr>
          <w:p w14:paraId="003CC597" w14:textId="77777777" w:rsidR="001168AD" w:rsidRDefault="001168AD">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c>
          <w:tcPr>
            <w:tcW w:w="5445" w:type="dxa"/>
          </w:tcPr>
          <w:p w14:paraId="3674E329" w14:textId="77777777" w:rsidR="001168AD" w:rsidRDefault="00306694">
            <w:pPr>
              <w:numPr>
                <w:ilvl w:val="1"/>
                <w:numId w:val="3"/>
              </w:numPr>
              <w:pBdr>
                <w:top w:val="nil"/>
                <w:left w:val="nil"/>
                <w:bottom w:val="nil"/>
                <w:right w:val="nil"/>
                <w:between w:val="nil"/>
              </w:pBdr>
              <w:tabs>
                <w:tab w:val="left" w:pos="144"/>
              </w:tabs>
              <w:spacing w:after="120" w:line="240" w:lineRule="auto"/>
              <w:ind w:left="342" w:hanging="342"/>
              <w:jc w:val="left"/>
              <w:rPr>
                <w:rFonts w:ascii="Arial" w:eastAsia="Arial" w:hAnsi="Arial" w:cs="Arial"/>
                <w:color w:val="000000"/>
                <w:sz w:val="24"/>
                <w:szCs w:val="24"/>
              </w:rPr>
            </w:pPr>
            <w:r>
              <w:rPr>
                <w:rFonts w:ascii="Arial" w:eastAsia="Arial" w:hAnsi="Arial" w:cs="Arial"/>
                <w:b w:val="0"/>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3D3B634E" w14:textId="77777777" w:rsidR="001168AD" w:rsidRDefault="00306694">
            <w:pPr>
              <w:numPr>
                <w:ilvl w:val="1"/>
                <w:numId w:val="3"/>
              </w:numPr>
              <w:pBdr>
                <w:top w:val="nil"/>
                <w:left w:val="nil"/>
                <w:bottom w:val="nil"/>
                <w:right w:val="nil"/>
                <w:between w:val="nil"/>
              </w:pBdr>
              <w:tabs>
                <w:tab w:val="left" w:pos="144"/>
              </w:tabs>
              <w:spacing w:after="120" w:line="240" w:lineRule="auto"/>
              <w:ind w:left="342" w:hanging="342"/>
              <w:jc w:val="left"/>
              <w:rPr>
                <w:rFonts w:ascii="Arial" w:eastAsia="Arial" w:hAnsi="Arial" w:cs="Arial"/>
                <w:color w:val="000000"/>
                <w:sz w:val="24"/>
                <w:szCs w:val="24"/>
              </w:rPr>
            </w:pPr>
            <w:r>
              <w:rPr>
                <w:rFonts w:ascii="Arial" w:eastAsia="Arial" w:hAnsi="Arial" w:cs="Arial"/>
                <w:b w:val="0"/>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1168AD" w14:paraId="5A6B4357" w14:textId="77777777">
        <w:tc>
          <w:tcPr>
            <w:tcW w:w="2745" w:type="dxa"/>
          </w:tcPr>
          <w:p w14:paraId="5D31EF8C"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45" w:type="dxa"/>
          </w:tcPr>
          <w:p w14:paraId="5FBFC166"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1168AD" w14:paraId="61A5CC66" w14:textId="77777777">
        <w:tc>
          <w:tcPr>
            <w:tcW w:w="2745" w:type="dxa"/>
          </w:tcPr>
          <w:p w14:paraId="60033FEA"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"ICT Environment"</w:t>
            </w:r>
          </w:p>
        </w:tc>
        <w:tc>
          <w:tcPr>
            <w:tcW w:w="5445" w:type="dxa"/>
          </w:tcPr>
          <w:p w14:paraId="77B7CFA4"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Buyer System and the Supplier System;</w:t>
            </w:r>
          </w:p>
        </w:tc>
      </w:tr>
      <w:tr w:rsidR="001168AD" w14:paraId="4C76B07F" w14:textId="77777777">
        <w:tc>
          <w:tcPr>
            <w:tcW w:w="2745" w:type="dxa"/>
          </w:tcPr>
          <w:p w14:paraId="309F4EC8"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"Licensed Software"</w:t>
            </w:r>
          </w:p>
        </w:tc>
        <w:tc>
          <w:tcPr>
            <w:tcW w:w="5445" w:type="dxa"/>
          </w:tcPr>
          <w:p w14:paraId="6A9E0D72"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all and any Software licensed by or through the Supplier, its Sub-Contractors or any third party to the Buyer for the purposes of or pursuant to this Call Off Contract, including any COTS Software;</w:t>
            </w:r>
          </w:p>
        </w:tc>
      </w:tr>
      <w:tr w:rsidR="001168AD" w14:paraId="2C4EC32D" w14:textId="77777777">
        <w:tc>
          <w:tcPr>
            <w:tcW w:w="2745" w:type="dxa"/>
          </w:tcPr>
          <w:p w14:paraId="005DC910"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"Maintenance Schedule"</w:t>
            </w:r>
          </w:p>
        </w:tc>
        <w:tc>
          <w:tcPr>
            <w:tcW w:w="5445" w:type="dxa"/>
          </w:tcPr>
          <w:p w14:paraId="28F724E2"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 of this Schedule;</w:t>
            </w:r>
          </w:p>
        </w:tc>
      </w:tr>
      <w:tr w:rsidR="001168AD" w14:paraId="599D4297" w14:textId="77777777">
        <w:tc>
          <w:tcPr>
            <w:tcW w:w="2745" w:type="dxa"/>
          </w:tcPr>
          <w:p w14:paraId="64A26BBD"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"Malicious Software"</w:t>
            </w:r>
          </w:p>
        </w:tc>
        <w:tc>
          <w:tcPr>
            <w:tcW w:w="5445" w:type="dxa"/>
          </w:tcPr>
          <w:p w14:paraId="460C1C0F"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168AD" w14:paraId="11A41EC0" w14:textId="77777777">
        <w:tc>
          <w:tcPr>
            <w:tcW w:w="2745" w:type="dxa"/>
          </w:tcPr>
          <w:p w14:paraId="01107E37"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"New Release"</w:t>
            </w:r>
          </w:p>
        </w:tc>
        <w:tc>
          <w:tcPr>
            <w:tcW w:w="5445" w:type="dxa"/>
          </w:tcPr>
          <w:p w14:paraId="70C6B1E9"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1168AD" w14:paraId="335D9A13" w14:textId="77777777">
        <w:tc>
          <w:tcPr>
            <w:tcW w:w="2745" w:type="dxa"/>
          </w:tcPr>
          <w:p w14:paraId="603C685E"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"Open Source Software"</w:t>
            </w:r>
          </w:p>
        </w:tc>
        <w:tc>
          <w:tcPr>
            <w:tcW w:w="5445" w:type="dxa"/>
          </w:tcPr>
          <w:p w14:paraId="087CB5F8"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1168AD" w14:paraId="21CB1B63" w14:textId="77777777">
        <w:tc>
          <w:tcPr>
            <w:tcW w:w="2745" w:type="dxa"/>
          </w:tcPr>
          <w:p w14:paraId="28ECA079"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45" w:type="dxa"/>
          </w:tcPr>
          <w:p w14:paraId="18D50612"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means the Buyer System and any premises (including the Buyer Premises, the Supplier’s premises or third party premises) from, to or at which:</w:t>
            </w:r>
          </w:p>
          <w:p w14:paraId="3F569849" w14:textId="77777777" w:rsidR="001168AD" w:rsidRDefault="00306694">
            <w:pPr>
              <w:numPr>
                <w:ilvl w:val="1"/>
                <w:numId w:val="1"/>
              </w:numPr>
              <w:pBdr>
                <w:top w:val="nil"/>
                <w:left w:val="nil"/>
                <w:bottom w:val="nil"/>
                <w:right w:val="nil"/>
                <w:between w:val="nil"/>
              </w:pBdr>
              <w:tabs>
                <w:tab w:val="left" w:pos="144"/>
                <w:tab w:val="left" w:pos="342"/>
              </w:tabs>
              <w:spacing w:after="120" w:line="240" w:lineRule="auto"/>
              <w:ind w:left="342"/>
              <w:jc w:val="left"/>
              <w:rPr>
                <w:rFonts w:ascii="Arial" w:eastAsia="Arial" w:hAnsi="Arial" w:cs="Arial"/>
                <w:color w:val="000000"/>
                <w:sz w:val="24"/>
                <w:szCs w:val="24"/>
              </w:rPr>
            </w:pPr>
            <w:r>
              <w:rPr>
                <w:rFonts w:ascii="Arial" w:eastAsia="Arial" w:hAnsi="Arial" w:cs="Arial"/>
                <w:b w:val="0"/>
                <w:color w:val="000000"/>
                <w:sz w:val="24"/>
                <w:szCs w:val="24"/>
              </w:rPr>
              <w:t xml:space="preserve">the Deliverables are (or are to be) provided; or </w:t>
            </w:r>
          </w:p>
          <w:p w14:paraId="781D07C0" w14:textId="77777777" w:rsidR="001168AD" w:rsidRDefault="00306694">
            <w:pPr>
              <w:numPr>
                <w:ilvl w:val="1"/>
                <w:numId w:val="1"/>
              </w:numPr>
              <w:pBdr>
                <w:top w:val="nil"/>
                <w:left w:val="nil"/>
                <w:bottom w:val="nil"/>
                <w:right w:val="nil"/>
                <w:between w:val="nil"/>
              </w:pBdr>
              <w:tabs>
                <w:tab w:val="left" w:pos="144"/>
                <w:tab w:val="left" w:pos="342"/>
              </w:tabs>
              <w:spacing w:after="120" w:line="240" w:lineRule="auto"/>
              <w:ind w:left="342"/>
              <w:jc w:val="left"/>
              <w:rPr>
                <w:rFonts w:ascii="Arial" w:eastAsia="Arial" w:hAnsi="Arial" w:cs="Arial"/>
                <w:color w:val="000000"/>
                <w:sz w:val="24"/>
                <w:szCs w:val="24"/>
              </w:rPr>
            </w:pPr>
            <w:r>
              <w:rPr>
                <w:rFonts w:ascii="Arial" w:eastAsia="Arial" w:hAnsi="Arial" w:cs="Arial"/>
                <w:b w:val="0"/>
                <w:color w:val="000000"/>
                <w:sz w:val="24"/>
                <w:szCs w:val="24"/>
              </w:rPr>
              <w:t>the Supplier manages, organises or otherwise directs the provision or the use of the Deliverables; or</w:t>
            </w:r>
          </w:p>
          <w:p w14:paraId="0CBF4BC9" w14:textId="77777777" w:rsidR="001168AD" w:rsidRDefault="00306694">
            <w:pPr>
              <w:numPr>
                <w:ilvl w:val="1"/>
                <w:numId w:val="1"/>
              </w:numPr>
              <w:pBdr>
                <w:top w:val="nil"/>
                <w:left w:val="nil"/>
                <w:bottom w:val="nil"/>
                <w:right w:val="nil"/>
                <w:between w:val="nil"/>
              </w:pBdr>
              <w:tabs>
                <w:tab w:val="left" w:pos="144"/>
                <w:tab w:val="left" w:pos="342"/>
              </w:tabs>
              <w:spacing w:after="120" w:line="240" w:lineRule="auto"/>
              <w:ind w:left="342"/>
              <w:jc w:val="left"/>
              <w:rPr>
                <w:rFonts w:ascii="Arial" w:eastAsia="Arial" w:hAnsi="Arial" w:cs="Arial"/>
                <w:color w:val="000000"/>
                <w:sz w:val="24"/>
                <w:szCs w:val="24"/>
              </w:rPr>
            </w:pPr>
            <w:r>
              <w:rPr>
                <w:rFonts w:ascii="Arial" w:eastAsia="Arial" w:hAnsi="Arial" w:cs="Arial"/>
                <w:b w:val="0"/>
                <w:color w:val="000000"/>
                <w:sz w:val="24"/>
                <w:szCs w:val="24"/>
              </w:rPr>
              <w:t>where any part of the Supplier System is situated;</w:t>
            </w:r>
          </w:p>
        </w:tc>
      </w:tr>
      <w:tr w:rsidR="001168AD" w14:paraId="37D625D9" w14:textId="77777777">
        <w:tc>
          <w:tcPr>
            <w:tcW w:w="2745" w:type="dxa"/>
          </w:tcPr>
          <w:p w14:paraId="07E675BE"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45" w:type="dxa"/>
          </w:tcPr>
          <w:p w14:paraId="2F3FA628"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8.2 of this Schedule;</w:t>
            </w:r>
          </w:p>
        </w:tc>
      </w:tr>
      <w:tr w:rsidR="001168AD" w14:paraId="388D0209" w14:textId="77777777">
        <w:tc>
          <w:tcPr>
            <w:tcW w:w="2745" w:type="dxa"/>
          </w:tcPr>
          <w:p w14:paraId="2D76BD17"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"Quality Plans"</w:t>
            </w:r>
          </w:p>
        </w:tc>
        <w:tc>
          <w:tcPr>
            <w:tcW w:w="5445" w:type="dxa"/>
          </w:tcPr>
          <w:p w14:paraId="3F40EB3B"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6.1 of this Schedule;</w:t>
            </w:r>
          </w:p>
        </w:tc>
      </w:tr>
      <w:tr w:rsidR="001168AD" w14:paraId="64B3B671" w14:textId="77777777">
        <w:tc>
          <w:tcPr>
            <w:tcW w:w="2745" w:type="dxa"/>
          </w:tcPr>
          <w:p w14:paraId="1493F7AD"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"Sites"</w:t>
            </w:r>
          </w:p>
        </w:tc>
        <w:tc>
          <w:tcPr>
            <w:tcW w:w="5445" w:type="dxa"/>
          </w:tcPr>
          <w:p w14:paraId="0B916A9D"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1168AD" w14:paraId="31C9E1BC" w14:textId="77777777">
        <w:tc>
          <w:tcPr>
            <w:tcW w:w="2745" w:type="dxa"/>
          </w:tcPr>
          <w:p w14:paraId="5D6AE9BC"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"Software"</w:t>
            </w:r>
          </w:p>
        </w:tc>
        <w:tc>
          <w:tcPr>
            <w:tcW w:w="5445" w:type="dxa"/>
          </w:tcPr>
          <w:p w14:paraId="6995C595"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Specially Written Software COTS Software and non-COTS Supplier and third party Software;</w:t>
            </w:r>
          </w:p>
        </w:tc>
      </w:tr>
      <w:tr w:rsidR="001168AD" w14:paraId="6D091486" w14:textId="77777777">
        <w:tc>
          <w:tcPr>
            <w:tcW w:w="2745" w:type="dxa"/>
          </w:tcPr>
          <w:p w14:paraId="28E5C5C3"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45" w:type="dxa"/>
          </w:tcPr>
          <w:p w14:paraId="11E082DD"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9.1 of this Schedule;</w:t>
            </w:r>
          </w:p>
        </w:tc>
      </w:tr>
      <w:tr w:rsidR="001168AD" w14:paraId="60275600" w14:textId="77777777">
        <w:tc>
          <w:tcPr>
            <w:tcW w:w="2745" w:type="dxa"/>
          </w:tcPr>
          <w:p w14:paraId="10655A62"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"Source Code"</w:t>
            </w:r>
          </w:p>
        </w:tc>
        <w:tc>
          <w:tcPr>
            <w:tcW w:w="5445" w:type="dxa"/>
          </w:tcPr>
          <w:p w14:paraId="1B492544"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1168AD" w14:paraId="72AF47BA" w14:textId="77777777">
        <w:tc>
          <w:tcPr>
            <w:tcW w:w="2745" w:type="dxa"/>
          </w:tcPr>
          <w:p w14:paraId="601B35F5"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45" w:type="dxa"/>
          </w:tcPr>
          <w:p w14:paraId="0EF1F0CB"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1168AD" w14:paraId="37AFBB2E" w14:textId="77777777">
        <w:tc>
          <w:tcPr>
            <w:tcW w:w="2745" w:type="dxa"/>
          </w:tcPr>
          <w:p w14:paraId="495F9C50"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"Supplier System"</w:t>
            </w:r>
          </w:p>
        </w:tc>
        <w:tc>
          <w:tcPr>
            <w:tcW w:w="5445" w:type="dxa"/>
          </w:tcPr>
          <w:p w14:paraId="73FC78B5" w14:textId="77777777" w:rsidR="001168AD" w:rsidRDefault="00306694">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6BAC9E43" w14:textId="77777777" w:rsidR="001168AD" w:rsidRDefault="00306694">
      <w:pPr>
        <w:keepNext/>
        <w:keepLines/>
        <w:numPr>
          <w:ilvl w:val="0"/>
          <w:numId w:val="4"/>
        </w:numPr>
        <w:pBdr>
          <w:top w:val="nil"/>
          <w:left w:val="nil"/>
          <w:bottom w:val="nil"/>
          <w:right w:val="nil"/>
          <w:between w:val="nil"/>
        </w:pBdr>
        <w:tabs>
          <w:tab w:val="left" w:pos="142"/>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58406647" w14:textId="77777777" w:rsidR="001168AD" w:rsidRDefault="00306694">
      <w:pPr>
        <w:keepNext/>
        <w:keepLines/>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39A08809" w14:textId="77777777" w:rsidR="001168AD" w:rsidRDefault="00306694">
      <w:pPr>
        <w:numPr>
          <w:ilvl w:val="0"/>
          <w:numId w:val="4"/>
        </w:numPr>
        <w:pBdr>
          <w:top w:val="nil"/>
          <w:left w:val="nil"/>
          <w:bottom w:val="nil"/>
          <w:right w:val="nil"/>
          <w:between w:val="nil"/>
        </w:pBdr>
        <w:tabs>
          <w:tab w:val="left" w:pos="3686"/>
          <w:tab w:val="left" w:pos="142"/>
        </w:tabs>
        <w:spacing w:before="120" w:line="240" w:lineRule="auto"/>
        <w:jc w:val="left"/>
        <w:rPr>
          <w:rFonts w:ascii="Arial Bold" w:eastAsia="Arial Bold" w:hAnsi="Arial Bold" w:cs="Arial Bold"/>
          <w:b/>
          <w:smallCaps/>
          <w:color w:val="000000"/>
          <w:sz w:val="24"/>
          <w:szCs w:val="24"/>
        </w:rPr>
      </w:pPr>
      <w:bookmarkStart w:id="3" w:name="_heading=h.49x2ik5" w:colFirst="0" w:colLast="0"/>
      <w:bookmarkEnd w:id="3"/>
      <w:r>
        <w:rPr>
          <w:rFonts w:ascii="Arial Bold" w:eastAsia="Arial Bold" w:hAnsi="Arial Bold" w:cs="Arial Bold"/>
          <w:b/>
          <w:color w:val="000000"/>
          <w:sz w:val="24"/>
          <w:szCs w:val="24"/>
        </w:rPr>
        <w:t xml:space="preserve">Buyer due diligence requirements </w:t>
      </w:r>
    </w:p>
    <w:p w14:paraId="5E8F9DBB" w14:textId="77777777" w:rsidR="001168AD" w:rsidRDefault="00306694">
      <w:pPr>
        <w:numPr>
          <w:ilvl w:val="1"/>
          <w:numId w:val="4"/>
        </w:numPr>
        <w:pBdr>
          <w:top w:val="nil"/>
          <w:left w:val="nil"/>
          <w:bottom w:val="nil"/>
          <w:right w:val="nil"/>
          <w:between w:val="nil"/>
        </w:pBdr>
        <w:tabs>
          <w:tab w:val="left" w:pos="3686"/>
          <w:tab w:val="left" w:pos="142"/>
        </w:tabs>
        <w:spacing w:before="120" w:line="240" w:lineRule="auto"/>
        <w:jc w:val="left"/>
        <w:rPr>
          <w:rFonts w:ascii="Arial" w:eastAsia="Arial" w:hAnsi="Arial" w:cs="Arial"/>
          <w:b/>
          <w:smallCaps/>
          <w:color w:val="000000"/>
          <w:sz w:val="24"/>
          <w:szCs w:val="24"/>
        </w:rPr>
      </w:pPr>
      <w:bookmarkStart w:id="4" w:name="_heading=h.2p2csry" w:colFirst="0" w:colLast="0"/>
      <w:bookmarkEnd w:id="4"/>
      <w:r>
        <w:rPr>
          <w:rFonts w:ascii="Arial" w:eastAsia="Arial" w:hAnsi="Arial" w:cs="Arial"/>
          <w:sz w:val="24"/>
          <w:szCs w:val="24"/>
        </w:rPr>
        <w:t xml:space="preserve">This paragraph 3 applies where the Buyer has conducted a Further Competition Procedure. </w:t>
      </w:r>
      <w:r>
        <w:rPr>
          <w:rFonts w:ascii="Arial" w:eastAsia="Arial" w:hAnsi="Arial" w:cs="Arial"/>
          <w:color w:val="000000"/>
          <w:sz w:val="24"/>
          <w:szCs w:val="24"/>
        </w:rPr>
        <w:t>The Supplier shall satisfy itself of all relevant details, including but not limited to, details relating to the following;</w:t>
      </w:r>
    </w:p>
    <w:p w14:paraId="46A2EE51"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5" w:name="_heading=h.1fob9te" w:colFirst="0" w:colLast="0"/>
      <w:bookmarkEnd w:id="5"/>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739D7C07"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7BAC1A3E"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1477A68D"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existing contracts (including any licences, support, maintenance and other contracts relating to the Operating Environment) referred to in </w:t>
      </w:r>
      <w:r>
        <w:rPr>
          <w:rFonts w:ascii="Arial" w:eastAsia="Arial" w:hAnsi="Arial" w:cs="Arial"/>
          <w:color w:val="000000"/>
          <w:sz w:val="24"/>
          <w:szCs w:val="24"/>
        </w:rPr>
        <w:lastRenderedPageBreak/>
        <w:t>the Due Diligence Information which may be novated to, assigned to or managed by the Supplier under this Contract and/or which the Supplier will require the benefit of for the provision of the Deliverables.</w:t>
      </w:r>
    </w:p>
    <w:p w14:paraId="4D3D2399" w14:textId="77777777" w:rsidR="001168AD" w:rsidRDefault="00306694">
      <w:pPr>
        <w:numPr>
          <w:ilvl w:val="1"/>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3D8B7D26"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2B4CE91B" w14:textId="77777777" w:rsidR="001168AD" w:rsidRDefault="00306694">
      <w:pPr>
        <w:numPr>
          <w:ilvl w:val="2"/>
          <w:numId w:val="4"/>
        </w:numPr>
        <w:pBdr>
          <w:top w:val="nil"/>
          <w:left w:val="nil"/>
          <w:bottom w:val="nil"/>
          <w:right w:val="nil"/>
          <w:between w:val="nil"/>
        </w:pBdr>
        <w:spacing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where the provision of the Services will be subject to site surveys, wayleaves and/or any other consents not yet granted;</w:t>
      </w:r>
    </w:p>
    <w:p w14:paraId="40978388"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0F9DC044"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31E5AB99" w14:textId="77777777" w:rsidR="001168AD" w:rsidRDefault="00306694">
      <w:pPr>
        <w:numPr>
          <w:ilvl w:val="0"/>
          <w:numId w:val="4"/>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52F4DD94"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6" w:name="_heading=h.3znysh7" w:colFirst="0" w:colLast="0"/>
      <w:bookmarkEnd w:id="6"/>
      <w:r>
        <w:rPr>
          <w:rFonts w:ascii="Arial" w:eastAsia="Arial" w:hAnsi="Arial" w:cs="Arial"/>
          <w:color w:val="000000"/>
          <w:sz w:val="24"/>
          <w:szCs w:val="24"/>
        </w:rPr>
        <w:t>The Supplier represents and warrants that:</w:t>
      </w:r>
    </w:p>
    <w:p w14:paraId="16E55E2B" w14:textId="77777777" w:rsidR="001168AD" w:rsidRDefault="00306694">
      <w:pPr>
        <w:numPr>
          <w:ilvl w:val="2"/>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85A6492"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3ED123C9"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78569B7A"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2D977FC6" w14:textId="77777777" w:rsidR="001168AD" w:rsidRDefault="00306694">
      <w:pPr>
        <w:numPr>
          <w:ilvl w:val="3"/>
          <w:numId w:val="4"/>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14:paraId="280D8A80" w14:textId="77777777" w:rsidR="001168AD" w:rsidRDefault="00306694">
      <w:pPr>
        <w:numPr>
          <w:ilvl w:val="0"/>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2A87137D" w14:textId="77777777" w:rsidR="001168AD" w:rsidRDefault="00306694">
      <w:pPr>
        <w:numPr>
          <w:ilvl w:val="1"/>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1B0364B9" w14:textId="77777777" w:rsidR="001168AD" w:rsidRDefault="00306694">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6C3BDD87" w14:textId="77777777" w:rsidR="001168AD" w:rsidRDefault="00306694">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4FAE7974" w14:textId="77777777" w:rsidR="001168AD" w:rsidRDefault="00306694">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73764941" w14:textId="77777777" w:rsidR="001168AD" w:rsidRDefault="00306694">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ensure that the Deliverables are fully compatible with any Buyer Software, Buyer System, or otherwise used by the Supplier in connection with this Contract;</w:t>
      </w:r>
    </w:p>
    <w:p w14:paraId="1BE534F5" w14:textId="77777777" w:rsidR="001168AD" w:rsidRDefault="00306694">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432D55AC" w14:textId="77777777" w:rsidR="001168AD" w:rsidRDefault="00306694">
      <w:pPr>
        <w:keepNext/>
        <w:numPr>
          <w:ilvl w:val="0"/>
          <w:numId w:val="4"/>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3D3C89F1"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7" w:name="_heading=h.2et92p0" w:colFirst="0" w:colLast="0"/>
      <w:bookmarkEnd w:id="7"/>
      <w:r>
        <w:rPr>
          <w:rFonts w:ascii="Arial" w:eastAsia="Arial" w:hAnsi="Arial" w:cs="Arial"/>
          <w:color w:val="000000"/>
          <w:sz w:val="24"/>
          <w:szCs w:val="24"/>
        </w:rPr>
        <w:t>The Supplier shall, where requested by the Buyer as part of their Further Competition Procedure,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5684AFF3"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3B5EEF78"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4415A18A"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0CE307E6" w14:textId="77777777" w:rsidR="001168AD" w:rsidRDefault="00306694">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7CB2B115" w14:textId="77777777" w:rsidR="001168AD" w:rsidRDefault="00306694">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6E406B1C" w14:textId="77777777" w:rsidR="001168AD" w:rsidRDefault="00306694">
      <w:pPr>
        <w:numPr>
          <w:ilvl w:val="2"/>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385A145F" w14:textId="77777777" w:rsidR="001168AD" w:rsidRDefault="00306694">
      <w:pPr>
        <w:numPr>
          <w:ilvl w:val="0"/>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14:paraId="72CC5C72" w14:textId="77777777" w:rsidR="001168AD" w:rsidRDefault="00306694">
      <w:pPr>
        <w:numPr>
          <w:ilvl w:val="1"/>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25037CBF"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11D584A1"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474DD4C7" w14:textId="77777777" w:rsidR="001168AD" w:rsidRDefault="00306694">
      <w:pPr>
        <w:numPr>
          <w:ilvl w:val="2"/>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0FE8AA4A" w14:textId="77777777" w:rsidR="001168AD" w:rsidRDefault="00306694">
      <w:pPr>
        <w:keepNext/>
        <w:numPr>
          <w:ilvl w:val="0"/>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Maintenance of the ICT Environment</w:t>
      </w:r>
    </w:p>
    <w:p w14:paraId="6BD9A41C" w14:textId="77777777" w:rsidR="001168AD" w:rsidRDefault="00306694">
      <w:pPr>
        <w:numPr>
          <w:ilvl w:val="1"/>
          <w:numId w:val="4"/>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requested by the Buyer as part of its Further Competition Procedure and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1779AE1A" w14:textId="77777777" w:rsidR="001168AD" w:rsidRDefault="00306694">
      <w:pPr>
        <w:numPr>
          <w:ilvl w:val="1"/>
          <w:numId w:val="4"/>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bookmarkStart w:id="8" w:name="_heading=h.tyjcwt" w:colFirst="0" w:colLast="0"/>
      <w:bookmarkEnd w:id="8"/>
      <w:r>
        <w:rPr>
          <w:rFonts w:ascii="Arial" w:eastAsia="Arial" w:hAnsi="Arial" w:cs="Arial"/>
          <w:color w:val="000000"/>
          <w:sz w:val="24"/>
          <w:szCs w:val="24"/>
        </w:rPr>
        <w:t xml:space="preserve">Once the Maintenance Schedule has been Approved, the Supplier shall only undertake such planned maintenance </w:t>
      </w:r>
      <w:r>
        <w:rPr>
          <w:rFonts w:ascii="Arial" w:eastAsia="Arial" w:hAnsi="Arial" w:cs="Arial"/>
          <w:sz w:val="24"/>
          <w:szCs w:val="24"/>
        </w:rPr>
        <w:t xml:space="preserve">(other than to the Core Network) </w:t>
      </w:r>
      <w:r>
        <w:rPr>
          <w:rFonts w:ascii="Arial" w:eastAsia="Arial" w:hAnsi="Arial" w:cs="Arial"/>
          <w:color w:val="000000"/>
          <w:sz w:val="24"/>
          <w:szCs w:val="24"/>
        </w:rPr>
        <w:t>(which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3218CC86" w14:textId="77777777" w:rsidR="001168AD" w:rsidRDefault="00306694">
      <w:pPr>
        <w:numPr>
          <w:ilvl w:val="1"/>
          <w:numId w:val="4"/>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7C6B098B" w14:textId="77777777" w:rsidR="001168AD" w:rsidRDefault="00306694">
      <w:pPr>
        <w:numPr>
          <w:ilvl w:val="1"/>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15A03AC" w14:textId="77777777" w:rsidR="001168AD" w:rsidRDefault="00306694">
      <w:pPr>
        <w:keepNext/>
        <w:numPr>
          <w:ilvl w:val="0"/>
          <w:numId w:val="4"/>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654B9FCB"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9" w:name="_heading=h.3dy6vkm" w:colFirst="0" w:colLast="0"/>
      <w:bookmarkEnd w:id="9"/>
      <w:r>
        <w:rPr>
          <w:rFonts w:ascii="Arial" w:eastAsia="Arial" w:hAnsi="Arial" w:cs="Arial"/>
          <w:b/>
          <w:color w:val="000000"/>
          <w:sz w:val="24"/>
          <w:szCs w:val="24"/>
        </w:rPr>
        <w:t xml:space="preserve">Assignments granted by the Supplier: Specially Written Software </w:t>
      </w:r>
    </w:p>
    <w:p w14:paraId="213E256F"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0" w:name="_heading=h.1t3h5sf" w:colFirst="0" w:colLast="0"/>
      <w:bookmarkEnd w:id="10"/>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682EE25F"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1" w:name="_heading=h.4d34og8" w:colFirst="0" w:colLast="0"/>
      <w:bookmarkEnd w:id="11"/>
      <w:r>
        <w:rPr>
          <w:rFonts w:ascii="Arial" w:eastAsia="Arial" w:hAnsi="Arial" w:cs="Arial"/>
          <w:color w:val="000000"/>
          <w:sz w:val="24"/>
          <w:szCs w:val="24"/>
        </w:rPr>
        <w:t>the Documentation, Source Code and the Object Code of the Specially Written Software; and</w:t>
      </w:r>
    </w:p>
    <w:p w14:paraId="69AF488D"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2" w:name="_heading=h.2s8eyo1" w:colFirst="0" w:colLast="0"/>
      <w:bookmarkEnd w:id="12"/>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047F3499"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1F119039"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7FD6AED9"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3" w:name="_heading=h.17dp8vu" w:colFirst="0" w:colLast="0"/>
      <w:bookmarkEnd w:id="13"/>
      <w:r>
        <w:rPr>
          <w:rFonts w:ascii="Arial" w:eastAsia="Arial" w:hAnsi="Arial" w:cs="Arial"/>
          <w:color w:val="000000"/>
          <w:sz w:val="24"/>
          <w:szCs w:val="24"/>
        </w:rPr>
        <w:t xml:space="preserve">deliver to the Buyer the Specially Written Software and any computer program elements of the New IPRs in both Source Code and Object Code forms together with relevant Documentation and all related Software Supporting Materials within seven days of completion or, if a relevant </w:t>
      </w:r>
      <w:r>
        <w:rPr>
          <w:rFonts w:ascii="Arial" w:eastAsia="Arial" w:hAnsi="Arial" w:cs="Arial"/>
          <w:color w:val="000000"/>
          <w:sz w:val="24"/>
          <w:szCs w:val="24"/>
        </w:rPr>
        <w:lastRenderedPageBreak/>
        <w:t>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69FEBA5C"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w:t>
      </w:r>
      <w:r>
        <w:rPr>
          <w:rFonts w:ascii="Arial" w:eastAsia="Arial" w:hAnsi="Arial" w:cs="Arial"/>
          <w:color w:val="000000"/>
          <w:sz w:val="24"/>
          <w:szCs w:val="24"/>
        </w:rPr>
        <w:t>rd Party IPRs to the extent that it is necessary to enable the Buyer to obtain the full benefits of ownership of the Specially Written Software and New IPRs.</w:t>
      </w:r>
    </w:p>
    <w:p w14:paraId="6C403B41"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772E12AA"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14" w:name="_heading=h.3rdcrjn" w:colFirst="0" w:colLast="0"/>
      <w:bookmarkEnd w:id="14"/>
      <w:r>
        <w:rPr>
          <w:rFonts w:ascii="Arial" w:eastAsia="Arial" w:hAnsi="Arial" w:cs="Arial"/>
          <w:b/>
          <w:color w:val="000000"/>
          <w:sz w:val="24"/>
          <w:szCs w:val="24"/>
        </w:rPr>
        <w:t>Licences for non-COTS IPR from the Supplier and third parties to the Buyer</w:t>
      </w:r>
    </w:p>
    <w:p w14:paraId="3D8EECE2"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5" w:name="_heading=h.26in1rg" w:colFirst="0" w:colLast="0"/>
      <w:bookmarkEnd w:id="15"/>
      <w:r>
        <w:rPr>
          <w:rFonts w:ascii="Arial" w:eastAsia="Arial" w:hAnsi="Arial" w:cs="Arial"/>
          <w:color w:val="000000"/>
          <w:sz w:val="24"/>
          <w:szCs w:val="24"/>
        </w:rPr>
        <w:t>Unless the Buyer gives its Approval the Supplier must not use any:</w:t>
      </w:r>
    </w:p>
    <w:p w14:paraId="2F226DF3" w14:textId="77777777" w:rsidR="001168AD" w:rsidRDefault="00306694">
      <w:pPr>
        <w:numPr>
          <w:ilvl w:val="0"/>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56E0C091" w14:textId="77777777" w:rsidR="001168AD" w:rsidRDefault="00306694">
      <w:pPr>
        <w:numPr>
          <w:ilvl w:val="0"/>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07486AD9"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6" w:name="_heading=h.lnxbz9" w:colFirst="0" w:colLast="0"/>
      <w:bookmarkEnd w:id="16"/>
      <w:r>
        <w:rPr>
          <w:rFonts w:ascii="Arial" w:eastAsia="Arial" w:hAnsi="Arial" w:cs="Arial"/>
          <w:color w:val="000000"/>
          <w:sz w:val="24"/>
          <w:szCs w:val="24"/>
        </w:rPr>
        <w:t xml:space="preserve">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w:t>
      </w:r>
      <w:r>
        <w:rPr>
          <w:rFonts w:ascii="Arial" w:eastAsia="Arial" w:hAnsi="Arial" w:cs="Arial"/>
          <w:color w:val="000000"/>
          <w:sz w:val="24"/>
          <w:szCs w:val="24"/>
        </w:rPr>
        <w:t>store, transmit, display and copy (for the purposes of archiving, backing-up, loading, execution, storage, transmission or display)</w:t>
      </w:r>
      <w:r>
        <w:rPr>
          <w:rFonts w:ascii="Calibri" w:eastAsia="Calibri" w:hAnsi="Calibri"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0037B717"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7" w:name="_heading=h.35nkun2" w:colFirst="0" w:colLast="0"/>
      <w:bookmarkEnd w:id="17"/>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4779FEE"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notify the Buyer in writing giving details of what licence terms can be obtained and whether there are alternative software providers which the Supplier could seek to use; and</w:t>
      </w:r>
    </w:p>
    <w:p w14:paraId="2C3F5E9B"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only use such third party IPR as referred to at paragraph 9.2.3.1 if the Buyer Approves the terms of the licence from the relevant third party.</w:t>
      </w:r>
    </w:p>
    <w:p w14:paraId="161D2CD0"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784CEC7E"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may terminate a licence granted under paragraph 9.2.2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3A19A22C"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18" w:name="_heading=h.1ksv4uv" w:colFirst="0" w:colLast="0"/>
      <w:bookmarkEnd w:id="18"/>
      <w:r>
        <w:rPr>
          <w:rFonts w:ascii="Arial" w:eastAsia="Arial" w:hAnsi="Arial" w:cs="Arial"/>
          <w:b/>
          <w:color w:val="000000"/>
          <w:sz w:val="24"/>
          <w:szCs w:val="24"/>
        </w:rPr>
        <w:t>Licenses for COTS Software by the Supplier and third parties to the Buyer</w:t>
      </w:r>
    </w:p>
    <w:p w14:paraId="046F4A54"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3C8331E9"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101E96BB"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a third party is the owner of COTS Software licensed in accordance with this Paragraph 9.3 the Supplier shall support the Replacement Supplier to make arrangements with the owner or authorised licencee to renew the license at a price and on terms no less favourable than those standard commercial terms on which such software is usually made commercially available.</w:t>
      </w:r>
    </w:p>
    <w:p w14:paraId="00894AAC" w14:textId="77777777" w:rsidR="001168AD" w:rsidRDefault="00306694">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2E024795"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2880E138"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734CE843"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Buyer’s right to assign/novate licences</w:t>
      </w:r>
    </w:p>
    <w:p w14:paraId="68773C66"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9" w:name="_heading=h.44sinio" w:colFirst="0" w:colLast="0"/>
      <w:bookmarkEnd w:id="19"/>
      <w:r>
        <w:rPr>
          <w:rFonts w:ascii="Arial" w:eastAsia="Arial" w:hAnsi="Arial" w:cs="Arial"/>
          <w:color w:val="000000"/>
          <w:sz w:val="24"/>
          <w:szCs w:val="24"/>
        </w:rPr>
        <w:t>The Buyer may assign, novate or otherwise transfer its rights and obligations under the licences granted pursuant to paragraph 9.2 (to:</w:t>
      </w:r>
    </w:p>
    <w:p w14:paraId="4155066C"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Central Government Body; or</w:t>
      </w:r>
    </w:p>
    <w:p w14:paraId="75E43041"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to any body (including any private sector body) which performs or carries on any of the functions and/or activities that previously had been performed and/or carried on by the Buyer.</w:t>
      </w:r>
    </w:p>
    <w:p w14:paraId="4E1C1158"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0" w:name="_heading=h.2jxsxqh" w:colFirst="0" w:colLast="0"/>
      <w:bookmarkEnd w:id="20"/>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25D22DD1" w14:textId="77777777" w:rsidR="001168AD" w:rsidRDefault="00306694">
      <w:pPr>
        <w:numPr>
          <w:ilvl w:val="1"/>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b/>
          <w:color w:val="000000"/>
          <w:sz w:val="24"/>
          <w:szCs w:val="24"/>
        </w:rPr>
      </w:pPr>
      <w:bookmarkStart w:id="21" w:name="_heading=h.z337ya" w:colFirst="0" w:colLast="0"/>
      <w:bookmarkEnd w:id="21"/>
      <w:r>
        <w:rPr>
          <w:rFonts w:ascii="Arial" w:eastAsia="Arial" w:hAnsi="Arial" w:cs="Arial"/>
          <w:b/>
          <w:color w:val="000000"/>
          <w:sz w:val="24"/>
          <w:szCs w:val="24"/>
        </w:rPr>
        <w:t>Licence granted by the Buyer</w:t>
      </w:r>
    </w:p>
    <w:p w14:paraId="0B348465"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2" w:name="_heading=h.3j2qqm3" w:colFirst="0" w:colLast="0"/>
      <w:bookmarkEnd w:id="22"/>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78C7C585"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23" w:name="_heading=h.1y810tw" w:colFirst="0" w:colLast="0"/>
      <w:bookmarkEnd w:id="23"/>
      <w:r>
        <w:rPr>
          <w:rFonts w:ascii="Arial" w:eastAsia="Arial" w:hAnsi="Arial" w:cs="Arial"/>
          <w:b/>
          <w:color w:val="000000"/>
          <w:sz w:val="24"/>
          <w:szCs w:val="24"/>
        </w:rPr>
        <w:t>Open Source Publication</w:t>
      </w:r>
    </w:p>
    <w:p w14:paraId="22F16D50"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4" w:name="_heading=h.4i7ojhp" w:colFirst="0" w:colLast="0"/>
      <w:bookmarkEnd w:id="24"/>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22FB626B"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20FB59DF"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65B37FEC" w14:textId="77777777" w:rsidR="001168AD" w:rsidRDefault="00306694">
      <w:pPr>
        <w:pBdr>
          <w:top w:val="nil"/>
          <w:left w:val="nil"/>
          <w:bottom w:val="nil"/>
          <w:right w:val="nil"/>
          <w:between w:val="nil"/>
        </w:pBdr>
        <w:tabs>
          <w:tab w:val="left" w:pos="1985"/>
          <w:tab w:val="left" w:pos="2127"/>
        </w:tabs>
        <w:spacing w:before="120" w:after="120" w:line="240" w:lineRule="auto"/>
        <w:ind w:left="1656"/>
        <w:jc w:val="left"/>
        <w:rPr>
          <w:rFonts w:ascii="Arial" w:eastAsia="Arial" w:hAnsi="Arial" w:cs="Arial"/>
          <w:color w:val="000000"/>
          <w:sz w:val="24"/>
          <w:szCs w:val="24"/>
        </w:rPr>
      </w:pPr>
      <w:bookmarkStart w:id="25" w:name="_heading=h.2xcytpi" w:colFirst="0" w:colLast="0"/>
      <w:bookmarkEnd w:id="25"/>
      <w:r>
        <w:rPr>
          <w:rFonts w:ascii="Arial" w:eastAsia="Arial" w:hAnsi="Arial" w:cs="Arial"/>
          <w:color w:val="000000"/>
          <w:sz w:val="24"/>
          <w:szCs w:val="24"/>
        </w:rPr>
        <w:t>and the Buyer may, at its sole discretion, publish the same as Open Source.</w:t>
      </w:r>
    </w:p>
    <w:p w14:paraId="323F7E9D" w14:textId="77777777" w:rsidR="001168AD" w:rsidRDefault="00306694">
      <w:pPr>
        <w:numPr>
          <w:ilvl w:val="2"/>
          <w:numId w:val="4"/>
        </w:numPr>
        <w:pBdr>
          <w:top w:val="nil"/>
          <w:left w:val="nil"/>
          <w:bottom w:val="nil"/>
          <w:right w:val="nil"/>
          <w:between w:val="nil"/>
        </w:pBdr>
        <w:tabs>
          <w:tab w:val="left" w:pos="1985"/>
          <w:tab w:val="left" w:pos="1134"/>
        </w:tabs>
        <w:spacing w:before="120" w:after="120" w:line="240" w:lineRule="auto"/>
        <w:jc w:val="left"/>
        <w:rPr>
          <w:rFonts w:ascii="Arial" w:eastAsia="Arial" w:hAnsi="Arial" w:cs="Arial"/>
          <w:color w:val="000000"/>
          <w:sz w:val="24"/>
          <w:szCs w:val="24"/>
        </w:rPr>
      </w:pPr>
      <w:bookmarkStart w:id="26" w:name="_heading=h.1ci93xb" w:colFirst="0" w:colLast="0"/>
      <w:bookmarkEnd w:id="26"/>
      <w:r>
        <w:rPr>
          <w:rFonts w:ascii="Arial" w:eastAsia="Arial" w:hAnsi="Arial" w:cs="Arial"/>
          <w:color w:val="000000"/>
          <w:sz w:val="24"/>
          <w:szCs w:val="24"/>
        </w:rPr>
        <w:t>The Supplier hereby warrants that the Specially Written Software and the New IPR:</w:t>
      </w:r>
    </w:p>
    <w:p w14:paraId="48E92CDE" w14:textId="77777777" w:rsidR="001168AD" w:rsidRDefault="00306694">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346B26B4" w14:textId="77777777" w:rsidR="001168AD" w:rsidRDefault="00306694">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0DB88A01" w14:textId="77777777" w:rsidR="001168AD" w:rsidRDefault="00306694">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7B930E31" w14:textId="77777777" w:rsidR="001168AD" w:rsidRDefault="00306694">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53947917" w14:textId="77777777" w:rsidR="001168AD" w:rsidRDefault="00306694">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01F65AF9" w14:textId="77777777" w:rsidR="001168AD" w:rsidRDefault="00306694">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630CC059"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7" w:name="_heading=h.3whwml4" w:colFirst="0" w:colLast="0"/>
      <w:bookmarkEnd w:id="27"/>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7B3BF185"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28" w:name="_heading=h.2bn6wsx" w:colFirst="0" w:colLast="0"/>
      <w:bookmarkEnd w:id="28"/>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45AD6E55" w14:textId="77777777" w:rsidR="001168AD" w:rsidRDefault="00306694">
      <w:pPr>
        <w:numPr>
          <w:ilvl w:val="3"/>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96E85D4"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Malicious Software</w:t>
      </w:r>
    </w:p>
    <w:p w14:paraId="1010CC6B"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9" w:name="_heading=h.qsh70q" w:colFirst="0" w:colLast="0"/>
      <w:bookmarkEnd w:id="29"/>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6F7ED366"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30" w:name="_heading=h.3as4poj" w:colFirst="0" w:colLast="0"/>
      <w:bookmarkEnd w:id="30"/>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6F80E889"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3F65D2F8"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405B5008" w14:textId="77777777" w:rsidR="001168AD" w:rsidRDefault="00306694">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0A1A17E1" w14:textId="77777777" w:rsidR="001168AD" w:rsidRDefault="00306694">
      <w:pPr>
        <w:keepNext/>
        <w:numPr>
          <w:ilvl w:val="0"/>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[Supplier-Furnished Terms</w:t>
      </w:r>
    </w:p>
    <w:p w14:paraId="2612C577" w14:textId="77777777" w:rsidR="001168AD" w:rsidRDefault="00306694">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Software Licence Terms</w:t>
      </w:r>
    </w:p>
    <w:p w14:paraId="392E3EF2"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ind w:left="1701" w:hanging="765"/>
        <w:jc w:val="left"/>
        <w:rPr>
          <w:rFonts w:ascii="Arial" w:eastAsia="Arial" w:hAnsi="Arial" w:cs="Arial"/>
          <w:color w:val="000000"/>
          <w:sz w:val="24"/>
          <w:szCs w:val="24"/>
        </w:rPr>
      </w:pPr>
      <w:r>
        <w:rPr>
          <w:rFonts w:ascii="Arial" w:eastAsia="Arial" w:hAnsi="Arial" w:cs="Arial"/>
          <w:color w:val="000000"/>
          <w:sz w:val="24"/>
          <w:szCs w:val="24"/>
        </w:rPr>
        <w:t>Terms for licensing of non-COTS third party software in accordance with Paragraph 9.2.3 are detailed in Part 1A of Call Off Schedule 2</w:t>
      </w:r>
      <w:r>
        <w:rPr>
          <w:rFonts w:ascii="Arial" w:eastAsia="Arial" w:hAnsi="Arial" w:cs="Arial"/>
          <w:sz w:val="24"/>
          <w:szCs w:val="24"/>
        </w:rPr>
        <w:t>4</w:t>
      </w:r>
    </w:p>
    <w:p w14:paraId="3E31A627" w14:textId="77777777" w:rsidR="001168AD" w:rsidRDefault="00306694">
      <w:pPr>
        <w:numPr>
          <w:ilvl w:val="2"/>
          <w:numId w:val="4"/>
        </w:numPr>
        <w:pBdr>
          <w:top w:val="nil"/>
          <w:left w:val="nil"/>
          <w:bottom w:val="nil"/>
          <w:right w:val="nil"/>
          <w:between w:val="nil"/>
        </w:pBdr>
        <w:tabs>
          <w:tab w:val="left" w:pos="1985"/>
          <w:tab w:val="left" w:pos="2127"/>
        </w:tabs>
        <w:spacing w:before="120" w:after="120" w:line="240" w:lineRule="auto"/>
        <w:ind w:left="1701" w:hanging="765"/>
        <w:jc w:val="left"/>
        <w:rPr>
          <w:rFonts w:ascii="Arial" w:eastAsia="Arial" w:hAnsi="Arial" w:cs="Arial"/>
          <w:color w:val="000000"/>
          <w:sz w:val="24"/>
          <w:szCs w:val="24"/>
        </w:rPr>
      </w:pPr>
      <w:r>
        <w:rPr>
          <w:rFonts w:ascii="Arial" w:eastAsia="Arial" w:hAnsi="Arial" w:cs="Arial"/>
          <w:color w:val="000000"/>
          <w:sz w:val="24"/>
          <w:szCs w:val="24"/>
        </w:rPr>
        <w:t>Terms for licensing of COTS software in accordance with Paragraph 9.3 are detailed in Part 1B of Call Off Schedule 2</w:t>
      </w:r>
      <w:r>
        <w:rPr>
          <w:rFonts w:ascii="Arial" w:eastAsia="Arial" w:hAnsi="Arial" w:cs="Arial"/>
          <w:sz w:val="24"/>
          <w:szCs w:val="24"/>
        </w:rPr>
        <w:t>4</w:t>
      </w:r>
      <w:r>
        <w:rPr>
          <w:rFonts w:ascii="Arial" w:eastAsia="Arial" w:hAnsi="Arial" w:cs="Arial"/>
          <w:color w:val="000000"/>
          <w:sz w:val="24"/>
          <w:szCs w:val="24"/>
        </w:rPr>
        <w:t>].</w:t>
      </w:r>
    </w:p>
    <w:p w14:paraId="11BFF0A6" w14:textId="77777777" w:rsidR="001168AD" w:rsidRDefault="001168AD">
      <w:pPr>
        <w:pBdr>
          <w:top w:val="nil"/>
          <w:left w:val="nil"/>
          <w:bottom w:val="nil"/>
          <w:right w:val="nil"/>
          <w:between w:val="nil"/>
        </w:pBdr>
        <w:tabs>
          <w:tab w:val="left" w:pos="1134"/>
        </w:tabs>
        <w:spacing w:before="120" w:after="120" w:line="240" w:lineRule="auto"/>
        <w:ind w:left="936"/>
        <w:jc w:val="left"/>
        <w:rPr>
          <w:rFonts w:ascii="Arial" w:eastAsia="Arial" w:hAnsi="Arial" w:cs="Arial"/>
          <w:color w:val="000000"/>
          <w:sz w:val="24"/>
          <w:szCs w:val="24"/>
          <w:highlight w:val="yellow"/>
        </w:rPr>
      </w:pPr>
    </w:p>
    <w:p w14:paraId="0B7FD8EA" w14:textId="77777777" w:rsidR="001168AD" w:rsidRDefault="001168AD">
      <w:pPr>
        <w:pBdr>
          <w:top w:val="nil"/>
          <w:left w:val="nil"/>
          <w:bottom w:val="nil"/>
          <w:right w:val="nil"/>
          <w:between w:val="nil"/>
        </w:pBdr>
        <w:spacing w:line="240" w:lineRule="auto"/>
        <w:jc w:val="left"/>
        <w:rPr>
          <w:rFonts w:ascii="Arial" w:eastAsia="Arial" w:hAnsi="Arial" w:cs="Arial"/>
          <w:b/>
          <w:i/>
          <w:color w:val="000000"/>
          <w:sz w:val="24"/>
          <w:szCs w:val="24"/>
        </w:rPr>
      </w:pPr>
    </w:p>
    <w:sectPr w:rsidR="001168AD">
      <w:headerReference w:type="default" r:id="rId8"/>
      <w:footerReference w:type="default" r:id="rId9"/>
      <w:headerReference w:type="first" r:id="rId10"/>
      <w:footerReference w:type="first" r:id="rId11"/>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35255" w14:textId="77777777" w:rsidR="00306694" w:rsidRDefault="00306694">
      <w:pPr>
        <w:spacing w:after="0" w:line="240" w:lineRule="auto"/>
      </w:pPr>
      <w:r>
        <w:separator/>
      </w:r>
    </w:p>
  </w:endnote>
  <w:endnote w:type="continuationSeparator" w:id="0">
    <w:p w14:paraId="1575A811" w14:textId="77777777" w:rsidR="00306694" w:rsidRDefault="00306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A53AA" w14:textId="77777777" w:rsidR="001168AD" w:rsidRDefault="001168AD">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6338871C" w14:textId="77777777" w:rsidR="001168AD" w:rsidRDefault="00306694">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RM6261</w:t>
    </w:r>
  </w:p>
  <w:p w14:paraId="0AA41BCF" w14:textId="77777777" w:rsidR="001168AD" w:rsidRDefault="00306694">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w:t>
    </w:r>
    <w:r>
      <w:rPr>
        <w:rFonts w:ascii="Arial" w:eastAsia="Arial" w:hAnsi="Arial" w:cs="Arial"/>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4CB977C" w14:textId="77777777" w:rsidR="001168AD" w:rsidRDefault="00306694">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r>
      <w:rPr>
        <w:rFonts w:ascii="Arial" w:eastAsia="Arial" w:hAnsi="Arial" w:cs="Arial"/>
        <w:color w:val="000000"/>
        <w:sz w:val="20"/>
        <w:szCs w:val="20"/>
      </w:rPr>
      <w:t>Model Version: v3.4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C16D" w14:textId="77777777" w:rsidR="001168AD" w:rsidRDefault="001168AD">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1CEB38BC" w14:textId="77777777" w:rsidR="001168AD" w:rsidRDefault="00306694">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r>
    <w:r>
      <w:rPr>
        <w:rFonts w:ascii="Calibri" w:eastAsia="Calibri" w:hAnsi="Calibri" w:cs="Calibri"/>
        <w:color w:val="A6A6A6"/>
      </w:rPr>
      <w:t xml:space="preserve">                                           </w:t>
    </w:r>
  </w:p>
  <w:p w14:paraId="06EC3860" w14:textId="77777777" w:rsidR="001168AD" w:rsidRDefault="00306694">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2F3B7791" w14:textId="77777777" w:rsidR="001168AD" w:rsidRDefault="00306694">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9213" w14:textId="77777777" w:rsidR="00306694" w:rsidRDefault="00306694">
      <w:pPr>
        <w:spacing w:after="0" w:line="240" w:lineRule="auto"/>
      </w:pPr>
      <w:r>
        <w:separator/>
      </w:r>
    </w:p>
  </w:footnote>
  <w:footnote w:type="continuationSeparator" w:id="0">
    <w:p w14:paraId="5595DB09" w14:textId="77777777" w:rsidR="00306694" w:rsidRDefault="00306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CBCD" w14:textId="77777777" w:rsidR="001168AD" w:rsidRDefault="00306694">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14:paraId="4C006218" w14:textId="77777777" w:rsidR="001168AD" w:rsidRDefault="0030669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45C01EC4" w14:textId="77777777" w:rsidR="001168AD" w:rsidRDefault="0030669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p w14:paraId="76691C31" w14:textId="77777777" w:rsidR="001168AD" w:rsidRDefault="001168AD">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13A3" w14:textId="77777777" w:rsidR="001168AD" w:rsidRDefault="001168AD">
    <w:pPr>
      <w:tabs>
        <w:tab w:val="center" w:pos="4513"/>
        <w:tab w:val="right" w:pos="9026"/>
      </w:tabs>
      <w:spacing w:after="0" w:line="240" w:lineRule="auto"/>
      <w:rPr>
        <w:rFonts w:ascii="Calibri" w:eastAsia="Calibri" w:hAnsi="Calibri" w:cs="Calibri"/>
      </w:rPr>
    </w:pPr>
  </w:p>
  <w:p w14:paraId="27A324C4" w14:textId="77777777" w:rsidR="001168AD" w:rsidRDefault="001168A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D6"/>
    <w:multiLevelType w:val="multilevel"/>
    <w:tmpl w:val="1024A17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EC0B7A"/>
    <w:multiLevelType w:val="multilevel"/>
    <w:tmpl w:val="CEBA337E"/>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2" w15:restartNumberingAfterBreak="0">
    <w:nsid w:val="3B9512B4"/>
    <w:multiLevelType w:val="multilevel"/>
    <w:tmpl w:val="5A5A889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B8D7685"/>
    <w:multiLevelType w:val="multilevel"/>
    <w:tmpl w:val="2806D314"/>
    <w:lvl w:ilvl="0">
      <w:start w:val="1"/>
      <w:numFmt w:val="lowerLetter"/>
      <w:pStyle w:val="Heading1"/>
      <w:lvlText w:val="%1)"/>
      <w:lvlJc w:val="left"/>
      <w:pPr>
        <w:ind w:left="2346" w:hanging="360"/>
      </w:pPr>
    </w:lvl>
    <w:lvl w:ilvl="1">
      <w:start w:val="1"/>
      <w:numFmt w:val="lowerLetter"/>
      <w:pStyle w:val="Heading2"/>
      <w:lvlText w:val="%2."/>
      <w:lvlJc w:val="left"/>
      <w:pPr>
        <w:ind w:left="3066" w:hanging="360"/>
      </w:pPr>
    </w:lvl>
    <w:lvl w:ilvl="2">
      <w:start w:val="1"/>
      <w:numFmt w:val="lowerRoman"/>
      <w:pStyle w:val="Heading3"/>
      <w:lvlText w:val="%3."/>
      <w:lvlJc w:val="right"/>
      <w:pPr>
        <w:ind w:left="3786" w:hanging="180"/>
      </w:pPr>
    </w:lvl>
    <w:lvl w:ilvl="3">
      <w:start w:val="1"/>
      <w:numFmt w:val="decimal"/>
      <w:pStyle w:val="Heading4"/>
      <w:lvlText w:val="%4."/>
      <w:lvlJc w:val="left"/>
      <w:pPr>
        <w:ind w:left="4506" w:hanging="360"/>
      </w:pPr>
    </w:lvl>
    <w:lvl w:ilvl="4">
      <w:start w:val="1"/>
      <w:numFmt w:val="lowerLetter"/>
      <w:pStyle w:val="Heading5"/>
      <w:lvlText w:val="%5."/>
      <w:lvlJc w:val="left"/>
      <w:pPr>
        <w:ind w:left="5226" w:hanging="360"/>
      </w:pPr>
    </w:lvl>
    <w:lvl w:ilvl="5">
      <w:start w:val="1"/>
      <w:numFmt w:val="lowerRoman"/>
      <w:pStyle w:val="Heading6"/>
      <w:lvlText w:val="%6."/>
      <w:lvlJc w:val="right"/>
      <w:pPr>
        <w:ind w:left="5946" w:hanging="180"/>
      </w:pPr>
    </w:lvl>
    <w:lvl w:ilvl="6">
      <w:start w:val="1"/>
      <w:numFmt w:val="decimal"/>
      <w:pStyle w:val="Heading7"/>
      <w:lvlText w:val="%7."/>
      <w:lvlJc w:val="left"/>
      <w:pPr>
        <w:ind w:left="6666" w:hanging="360"/>
      </w:pPr>
    </w:lvl>
    <w:lvl w:ilvl="7">
      <w:start w:val="1"/>
      <w:numFmt w:val="lowerLetter"/>
      <w:pStyle w:val="Heading8"/>
      <w:lvlText w:val="%8."/>
      <w:lvlJc w:val="left"/>
      <w:pPr>
        <w:ind w:left="7386" w:hanging="360"/>
      </w:pPr>
    </w:lvl>
    <w:lvl w:ilvl="8">
      <w:start w:val="1"/>
      <w:numFmt w:val="lowerRoman"/>
      <w:pStyle w:val="Heading9"/>
      <w:lvlText w:val="%9."/>
      <w:lvlJc w:val="right"/>
      <w:pPr>
        <w:ind w:left="8106" w:hanging="180"/>
      </w:pPr>
    </w:lvl>
  </w:abstractNum>
  <w:abstractNum w:abstractNumId="4" w15:restartNumberingAfterBreak="0">
    <w:nsid w:val="79CE19AB"/>
    <w:multiLevelType w:val="multilevel"/>
    <w:tmpl w:val="F71A27EC"/>
    <w:lvl w:ilvl="0">
      <w:start w:val="1"/>
      <w:numFmt w:val="decimal"/>
      <w:pStyle w:val="AppHead"/>
      <w:lvlText w:val="%1"/>
      <w:lvlJc w:val="left"/>
      <w:pPr>
        <w:ind w:left="170" w:hanging="170"/>
      </w:pPr>
      <w:rPr>
        <w:rFonts w:ascii="Arial" w:eastAsia="Arial" w:hAnsi="Arial" w:cs="Arial"/>
        <w:sz w:val="22"/>
        <w:szCs w:val="22"/>
      </w:rPr>
    </w:lvl>
    <w:lvl w:ilvl="1">
      <w:start w:val="1"/>
      <w:numFmt w:val="lowerLetter"/>
      <w:pStyle w:val="AppPart"/>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16154672">
    <w:abstractNumId w:val="2"/>
  </w:num>
  <w:num w:numId="2" w16cid:durableId="125046512">
    <w:abstractNumId w:val="3"/>
  </w:num>
  <w:num w:numId="3" w16cid:durableId="887380823">
    <w:abstractNumId w:val="4"/>
  </w:num>
  <w:num w:numId="4" w16cid:durableId="2021272374">
    <w:abstractNumId w:val="0"/>
  </w:num>
  <w:num w:numId="5" w16cid:durableId="1847666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AD"/>
    <w:rsid w:val="001168AD"/>
    <w:rsid w:val="00306694"/>
    <w:rsid w:val="00616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C71690"/>
  <w15:docId w15:val="{D732F740-EE1D-443A-A1E6-C9ABC14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semiHidden/>
    <w:unhideWhenUsed/>
    <w:qFormat/>
    <w:pPr>
      <w:numPr>
        <w:ilvl w:val="1"/>
        <w:numId w:val="2"/>
      </w:numPr>
      <w:outlineLvl w:val="1"/>
    </w:pPr>
    <w:rPr>
      <w:rFonts w:ascii="Calibri" w:hAnsi="Calibri"/>
    </w:rPr>
  </w:style>
  <w:style w:type="paragraph" w:styleId="Heading3">
    <w:name w:val="heading 3"/>
    <w:basedOn w:val="HouseStyleBase"/>
    <w:link w:val="Heading3Char"/>
    <w:uiPriority w:val="9"/>
    <w:semiHidden/>
    <w:unhideWhenUsed/>
    <w:qFormat/>
    <w:pPr>
      <w:numPr>
        <w:ilvl w:val="2"/>
        <w:numId w:val="2"/>
      </w:numPr>
      <w:outlineLvl w:val="2"/>
    </w:pPr>
  </w:style>
  <w:style w:type="paragraph" w:styleId="Heading4">
    <w:name w:val="heading 4"/>
    <w:basedOn w:val="HouseStyleBase"/>
    <w:link w:val="Heading4Char"/>
    <w:uiPriority w:val="9"/>
    <w:semiHidden/>
    <w:unhideWhenUsed/>
    <w:qFormat/>
    <w:pPr>
      <w:numPr>
        <w:ilvl w:val="3"/>
        <w:numId w:val="2"/>
      </w:numPr>
      <w:outlineLvl w:val="3"/>
    </w:pPr>
  </w:style>
  <w:style w:type="paragraph" w:styleId="Heading5">
    <w:name w:val="heading 5"/>
    <w:basedOn w:val="HouseStyleBase"/>
    <w:link w:val="Heading5Char"/>
    <w:uiPriority w:val="9"/>
    <w:semiHidden/>
    <w:unhideWhenUsed/>
    <w:qFormat/>
    <w:pPr>
      <w:numPr>
        <w:ilvl w:val="4"/>
        <w:numId w:val="2"/>
      </w:numPr>
      <w:outlineLvl w:val="4"/>
    </w:pPr>
  </w:style>
  <w:style w:type="paragraph" w:styleId="Heading6">
    <w:name w:val="heading 6"/>
    <w:basedOn w:val="HouseStyleBase"/>
    <w:uiPriority w:val="9"/>
    <w:semiHidden/>
    <w:unhideWhenUsed/>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spacing w:line="240" w:lineRule="auto"/>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overflowPunct/>
      <w:autoSpaceDE/>
      <w:autoSpaceDN/>
      <w:spacing w:before="120" w:after="120" w:line="240" w:lineRule="auto"/>
      <w:ind w:left="1134" w:hanging="567"/>
      <w:textAlignment w:val="auto"/>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EmjJT2xzRq2WfUNCYS7fbRIlew==">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3522</Words>
  <Characters>20078</Characters>
  <Application>Microsoft Office Word</Application>
  <DocSecurity>4</DocSecurity>
  <Lines>167</Lines>
  <Paragraphs>47</Paragraphs>
  <ScaleCrop>false</ScaleCrop>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Maria Court</cp:lastModifiedBy>
  <cp:revision>2</cp:revision>
  <dcterms:created xsi:type="dcterms:W3CDTF">2025-06-18T14:19:00Z</dcterms:created>
  <dcterms:modified xsi:type="dcterms:W3CDTF">2025-06-18T14:19:00Z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ies>
</file>