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B4C3" w14:textId="77777777" w:rsidR="00277FAA" w:rsidRDefault="00277FAA">
      <w:pPr>
        <w:pBdr>
          <w:top w:val="nil"/>
          <w:left w:val="nil"/>
          <w:bottom w:val="nil"/>
          <w:right w:val="nil"/>
          <w:between w:val="nil"/>
        </w:pBdr>
        <w:tabs>
          <w:tab w:val="left" w:pos="1985"/>
        </w:tabs>
        <w:spacing w:before="120" w:after="120"/>
        <w:ind w:left="1656" w:hanging="720"/>
        <w:rPr>
          <w:rFonts w:ascii="Arial" w:eastAsia="Arial" w:hAnsi="Arial"/>
          <w:b/>
          <w:color w:val="000000"/>
          <w:sz w:val="36"/>
          <w:szCs w:val="36"/>
        </w:rPr>
      </w:pPr>
    </w:p>
    <w:p w14:paraId="74548A4F" w14:textId="77777777" w:rsidR="00277FAA" w:rsidRDefault="001815BB">
      <w:pPr>
        <w:keepNext/>
        <w:jc w:val="left"/>
        <w:rPr>
          <w:rFonts w:ascii="Arial" w:eastAsia="Arial" w:hAnsi="Arial"/>
          <w:b/>
          <w:sz w:val="36"/>
          <w:szCs w:val="36"/>
        </w:rPr>
      </w:pPr>
      <w:r>
        <w:rPr>
          <w:rFonts w:ascii="Arial" w:eastAsia="Arial" w:hAnsi="Arial"/>
          <w:b/>
          <w:sz w:val="36"/>
          <w:szCs w:val="36"/>
        </w:rPr>
        <w:t>Call-Off Schedule 16 (Benchmarking)</w:t>
      </w:r>
    </w:p>
    <w:p w14:paraId="6A4AE0FF" w14:textId="77777777" w:rsidR="00277FAA" w:rsidRDefault="001815BB">
      <w:pPr>
        <w:keepNext/>
        <w:numPr>
          <w:ilvl w:val="0"/>
          <w:numId w:val="1"/>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w:eastAsia="Arial" w:hAnsi="Arial"/>
          <w:b/>
          <w:smallCaps/>
          <w:color w:val="000000"/>
          <w:sz w:val="24"/>
          <w:szCs w:val="24"/>
        </w:rPr>
        <w:t>DEFINITIONS</w:t>
      </w:r>
    </w:p>
    <w:p w14:paraId="55A690D8" w14:textId="77777777" w:rsidR="00277FAA" w:rsidRDefault="001815BB">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In this Schedule, the following expressions shall have the following meanings:</w:t>
      </w:r>
    </w:p>
    <w:tbl>
      <w:tblPr>
        <w:tblStyle w:val="a1"/>
        <w:tblW w:w="804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5142"/>
      </w:tblGrid>
      <w:tr w:rsidR="00277FAA" w14:paraId="07A215A8" w14:textId="77777777">
        <w:tc>
          <w:tcPr>
            <w:tcW w:w="2900" w:type="dxa"/>
            <w:shd w:val="clear" w:color="auto" w:fill="auto"/>
          </w:tcPr>
          <w:p w14:paraId="720F921F"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"Benchmark Review"</w:t>
            </w:r>
          </w:p>
        </w:tc>
        <w:tc>
          <w:tcPr>
            <w:tcW w:w="5142" w:type="dxa"/>
            <w:shd w:val="clear" w:color="auto" w:fill="auto"/>
          </w:tcPr>
          <w:p w14:paraId="5A659F6E"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a review of the Deliverables carried out in accordance with this Schedule to determine whether those Deliverables represent Good Value;</w:t>
            </w:r>
          </w:p>
        </w:tc>
      </w:tr>
      <w:tr w:rsidR="00277FAA" w14:paraId="2229B72A" w14:textId="77777777">
        <w:tc>
          <w:tcPr>
            <w:tcW w:w="2900" w:type="dxa"/>
            <w:shd w:val="clear" w:color="auto" w:fill="auto"/>
          </w:tcPr>
          <w:p w14:paraId="70258793"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"Benchmarked Deliverables"</w:t>
            </w:r>
          </w:p>
        </w:tc>
        <w:tc>
          <w:tcPr>
            <w:tcW w:w="5142" w:type="dxa"/>
            <w:shd w:val="clear" w:color="auto" w:fill="auto"/>
          </w:tcPr>
          <w:p w14:paraId="6ACEFF6C"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any Deliverables included within the scope of a Benchmark Review pursuant to this Schedule;</w:t>
            </w:r>
          </w:p>
        </w:tc>
      </w:tr>
      <w:tr w:rsidR="00277FAA" w14:paraId="1D7A37E0" w14:textId="77777777">
        <w:tc>
          <w:tcPr>
            <w:tcW w:w="2900" w:type="dxa"/>
            <w:shd w:val="clear" w:color="auto" w:fill="auto"/>
          </w:tcPr>
          <w:p w14:paraId="35649383"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"Comparable Rates"</w:t>
            </w:r>
          </w:p>
        </w:tc>
        <w:tc>
          <w:tcPr>
            <w:tcW w:w="5142" w:type="dxa"/>
            <w:shd w:val="clear" w:color="auto" w:fill="auto"/>
          </w:tcPr>
          <w:p w14:paraId="6E7BC67A"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the Charges for Comparable Deliverables;</w:t>
            </w:r>
          </w:p>
        </w:tc>
      </w:tr>
      <w:tr w:rsidR="00277FAA" w14:paraId="463F09C2" w14:textId="77777777">
        <w:tc>
          <w:tcPr>
            <w:tcW w:w="2900" w:type="dxa"/>
            <w:shd w:val="clear" w:color="auto" w:fill="auto"/>
          </w:tcPr>
          <w:p w14:paraId="74BE4218"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"Comparable Deliverables"</w:t>
            </w:r>
          </w:p>
        </w:tc>
        <w:tc>
          <w:tcPr>
            <w:tcW w:w="5142" w:type="dxa"/>
            <w:shd w:val="clear" w:color="auto" w:fill="auto"/>
          </w:tcPr>
          <w:p w14:paraId="41FA9BFD"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77FAA" w14:paraId="64890117" w14:textId="77777777">
        <w:tc>
          <w:tcPr>
            <w:tcW w:w="2900" w:type="dxa"/>
            <w:shd w:val="clear" w:color="auto" w:fill="auto"/>
          </w:tcPr>
          <w:p w14:paraId="7B6630F0"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"Comparison Group"</w:t>
            </w:r>
          </w:p>
        </w:tc>
        <w:tc>
          <w:tcPr>
            <w:tcW w:w="5142" w:type="dxa"/>
            <w:shd w:val="clear" w:color="auto" w:fill="auto"/>
          </w:tcPr>
          <w:p w14:paraId="1A7062BF"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77FAA" w14:paraId="568A1ABD" w14:textId="77777777">
        <w:tc>
          <w:tcPr>
            <w:tcW w:w="2900" w:type="dxa"/>
            <w:shd w:val="clear" w:color="auto" w:fill="auto"/>
          </w:tcPr>
          <w:p w14:paraId="76FBC909"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"Equivalent Data"</w:t>
            </w:r>
          </w:p>
        </w:tc>
        <w:tc>
          <w:tcPr>
            <w:tcW w:w="5142" w:type="dxa"/>
            <w:shd w:val="clear" w:color="auto" w:fill="auto"/>
          </w:tcPr>
          <w:p w14:paraId="345C5DE0"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data derived from an analysis of the Comparable Rates and/or the Comparable Deliverables (as applicable) provided by the Comparison Group;</w:t>
            </w:r>
          </w:p>
        </w:tc>
      </w:tr>
      <w:tr w:rsidR="00277FAA" w14:paraId="3BA5B3BC" w14:textId="77777777">
        <w:tc>
          <w:tcPr>
            <w:tcW w:w="2900" w:type="dxa"/>
            <w:shd w:val="clear" w:color="auto" w:fill="auto"/>
          </w:tcPr>
          <w:p w14:paraId="0B309FA0"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"Good Value"</w:t>
            </w:r>
          </w:p>
        </w:tc>
        <w:tc>
          <w:tcPr>
            <w:tcW w:w="5142" w:type="dxa"/>
            <w:shd w:val="clear" w:color="auto" w:fill="auto"/>
          </w:tcPr>
          <w:p w14:paraId="6368843B"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that the Benchmarked Rates are within the Upper Quartile; and</w:t>
            </w:r>
          </w:p>
        </w:tc>
      </w:tr>
      <w:tr w:rsidR="00277FAA" w14:paraId="66C29D19" w14:textId="77777777">
        <w:tc>
          <w:tcPr>
            <w:tcW w:w="2900" w:type="dxa"/>
            <w:shd w:val="clear" w:color="auto" w:fill="auto"/>
          </w:tcPr>
          <w:p w14:paraId="5EED0724" w14:textId="77777777" w:rsidR="00277FAA" w:rsidRDefault="001815BB">
            <w:pPr>
              <w:pBdr>
                <w:top w:val="nil"/>
                <w:left w:val="nil"/>
                <w:bottom w:val="nil"/>
                <w:right w:val="nil"/>
                <w:between w:val="nil"/>
              </w:pBdr>
              <w:spacing w:after="120"/>
              <w:ind w:left="-108"/>
              <w:jc w:val="left"/>
              <w:rPr>
                <w:rFonts w:ascii="Arial" w:eastAsia="Arial" w:hAnsi="Arial"/>
                <w:b/>
                <w:sz w:val="24"/>
                <w:szCs w:val="24"/>
              </w:rPr>
            </w:pPr>
            <w:r>
              <w:rPr>
                <w:rFonts w:ascii="Arial" w:eastAsia="Arial" w:hAnsi="Arial"/>
                <w:b/>
                <w:sz w:val="24"/>
                <w:szCs w:val="24"/>
              </w:rPr>
              <w:t>"Upper Quartile"</w:t>
            </w:r>
          </w:p>
        </w:tc>
        <w:tc>
          <w:tcPr>
            <w:tcW w:w="5142" w:type="dxa"/>
            <w:shd w:val="clear" w:color="auto" w:fill="auto"/>
          </w:tcPr>
          <w:p w14:paraId="4637D3BC" w14:textId="77777777" w:rsidR="00277FAA" w:rsidRDefault="001815BB">
            <w:pPr>
              <w:pBdr>
                <w:top w:val="nil"/>
                <w:left w:val="nil"/>
                <w:bottom w:val="nil"/>
                <w:right w:val="nil"/>
                <w:between w:val="nil"/>
              </w:pBdr>
              <w:tabs>
                <w:tab w:val="left" w:pos="175"/>
              </w:tabs>
              <w:spacing w:after="120"/>
              <w:ind w:left="170"/>
              <w:jc w:val="left"/>
              <w:rPr>
                <w:rFonts w:ascii="Arial" w:eastAsia="Arial" w:hAnsi="Arial"/>
                <w:sz w:val="24"/>
                <w:szCs w:val="24"/>
              </w:rPr>
            </w:pPr>
            <w:r>
              <w:rPr>
                <w:rFonts w:ascii="Arial" w:eastAsia="Arial" w:hAnsi="Arial"/>
                <w:sz w:val="24"/>
                <w:szCs w:val="24"/>
              </w:rPr>
              <w:t xml:space="preserve">in respect of Benchmarked Rates, </w:t>
            </w:r>
            <w:r>
              <w:rPr>
                <w:rFonts w:ascii="Arial" w:eastAsia="Arial" w:hAnsi="Arial"/>
                <w:sz w:val="24"/>
                <w:szCs w:val="24"/>
              </w:rPr>
              <w:t>based</w:t>
            </w:r>
            <w:r>
              <w:rPr>
                <w:rFonts w:ascii="Arial" w:eastAsia="Arial" w:hAnsi="Arial"/>
                <w:sz w:val="24"/>
                <w:szCs w:val="24"/>
              </w:rPr>
              <w:t xml:space="preserve"> on an analysis of Equivalent Data, the Benchmarked Rates, as compared to the range of prices for Comparable Deliverables, are within the top 25% in </w:t>
            </w:r>
            <w:r>
              <w:rPr>
                <w:rFonts w:ascii="Arial" w:eastAsia="Arial" w:hAnsi="Arial"/>
                <w:sz w:val="24"/>
                <w:szCs w:val="24"/>
              </w:rPr>
              <w:lastRenderedPageBreak/>
              <w:t>terms of best value for money for the recipients of Comparable Deliverables.</w:t>
            </w:r>
          </w:p>
        </w:tc>
      </w:tr>
    </w:tbl>
    <w:p w14:paraId="5311C510" w14:textId="77777777" w:rsidR="00277FAA" w:rsidRDefault="001815BB">
      <w:pPr>
        <w:keepNext/>
        <w:numPr>
          <w:ilvl w:val="0"/>
          <w:numId w:val="1"/>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When you should use this Schedule</w:t>
      </w:r>
    </w:p>
    <w:p w14:paraId="6BC1CFC0" w14:textId="77777777" w:rsidR="00277FAA" w:rsidRDefault="001815BB">
      <w:pPr>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color w:val="000000"/>
          <w:sz w:val="24"/>
          <w:szCs w:val="24"/>
        </w:rPr>
        <w:t xml:space="preserve">The Supplier acknowledges that the Buyer wishes to ensure that the Deliverables, represent value for money to the taxpayer throughout the Contract Period.  </w:t>
      </w:r>
    </w:p>
    <w:p w14:paraId="054BE9E5" w14:textId="77777777" w:rsidR="00277FAA" w:rsidRDefault="001815BB">
      <w:pPr>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4C58B475" w14:textId="77777777" w:rsidR="00277FAA" w:rsidRDefault="001815BB">
      <w:pPr>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color w:val="000000"/>
          <w:sz w:val="24"/>
          <w:szCs w:val="24"/>
        </w:rPr>
      </w:pPr>
      <w:r>
        <w:rPr>
          <w:rFonts w:ascii="Arial" w:eastAsia="Arial" w:hAnsi="Arial"/>
          <w:color w:val="000000"/>
          <w:sz w:val="24"/>
          <w:szCs w:val="24"/>
        </w:rPr>
        <w:t>Amounts payable under this Schedule shall not fall with the definition of a Cost.</w:t>
      </w:r>
    </w:p>
    <w:p w14:paraId="020FC42D" w14:textId="77777777" w:rsidR="00277FAA" w:rsidRDefault="001815BB">
      <w:pPr>
        <w:keepNext/>
        <w:numPr>
          <w:ilvl w:val="0"/>
          <w:numId w:val="1"/>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Benchmarking</w:t>
      </w:r>
    </w:p>
    <w:p w14:paraId="31E59364" w14:textId="77777777" w:rsidR="00277FAA" w:rsidRDefault="001815BB">
      <w:pPr>
        <w:keepNext/>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b/>
          <w:color w:val="000000"/>
          <w:sz w:val="24"/>
          <w:szCs w:val="24"/>
        </w:rPr>
        <w:t>How benchmarking works</w:t>
      </w:r>
    </w:p>
    <w:p w14:paraId="4F544124"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The Buyer and the Supplier recognise that, where specified in Framework Schedule 4 (Framework Management), the Buyer </w:t>
      </w:r>
      <w:r>
        <w:rPr>
          <w:rFonts w:ascii="Arial" w:eastAsia="Arial" w:hAnsi="Arial"/>
          <w:sz w:val="24"/>
          <w:szCs w:val="24"/>
        </w:rPr>
        <w:t>will</w:t>
      </w:r>
      <w:r>
        <w:rPr>
          <w:rFonts w:ascii="Arial" w:eastAsia="Arial" w:hAnsi="Arial"/>
          <w:color w:val="000000"/>
          <w:sz w:val="24"/>
          <w:szCs w:val="24"/>
        </w:rPr>
        <w:t xml:space="preserve"> give CCS the right to enforce the Buyer's rights under this Schedule.</w:t>
      </w:r>
    </w:p>
    <w:p w14:paraId="6E53DC70"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Buyer may, by written notice to the Supplier, require a Benchmark Review of any or all of the Deliverables.</w:t>
      </w:r>
    </w:p>
    <w:p w14:paraId="223CB724"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0E4A9CB3"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purpose of a Benchmark Review will be to establish whether the Benchmarked Deliverables are, individually and/or as a whole, Good Value.</w:t>
      </w:r>
    </w:p>
    <w:p w14:paraId="5F6A307A"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Deliverables that are to be the Benchmarked Deliverables will be identified by the Buyer in writing.</w:t>
      </w:r>
    </w:p>
    <w:p w14:paraId="07D2B408"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w:t>
      </w:r>
      <w:r>
        <w:rPr>
          <w:rFonts w:ascii="Arial" w:eastAsia="Arial" w:hAnsi="Arial"/>
          <w:color w:val="000000"/>
          <w:sz w:val="24"/>
          <w:szCs w:val="24"/>
        </w:rPr>
        <w:t xml:space="preserve">l Accountants. </w:t>
      </w:r>
    </w:p>
    <w:p w14:paraId="3951461D"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w:t>
      </w:r>
      <w:r>
        <w:rPr>
          <w:rFonts w:ascii="Arial" w:eastAsia="Arial" w:hAnsi="Arial"/>
          <w:color w:val="000000"/>
          <w:sz w:val="24"/>
          <w:szCs w:val="24"/>
        </w:rPr>
        <w:lastRenderedPageBreak/>
        <w:t>reasonably). Invoices by the benchmarker shall be raised against the Supplier and the relevant portion shall be reimbursed by the Buyer.</w:t>
      </w:r>
    </w:p>
    <w:p w14:paraId="7DFB8AA4" w14:textId="77777777" w:rsidR="00277FAA" w:rsidRDefault="001815BB">
      <w:pPr>
        <w:keepNext/>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b/>
          <w:color w:val="000000"/>
          <w:sz w:val="24"/>
          <w:szCs w:val="24"/>
        </w:rPr>
        <w:t>Benchmarking Process</w:t>
      </w:r>
    </w:p>
    <w:p w14:paraId="3602BA0D"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The benchmarker shall produce and send to the Buyer, for Approval, a draft plan for the Benchmark Review which must include:</w:t>
      </w:r>
    </w:p>
    <w:p w14:paraId="21A863F5"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 proposed cost and timetable for the Benchmark Review;</w:t>
      </w:r>
    </w:p>
    <w:p w14:paraId="540F82AC"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 description of the benchmarking methodology to be used which must demonstrate that the methodology to be used is capable of fulfilling the benchmarking purpose; and</w:t>
      </w:r>
    </w:p>
    <w:p w14:paraId="7214E410"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a description of how the benchmarker will scope and identify the Comparison Group. </w:t>
      </w:r>
    </w:p>
    <w:p w14:paraId="267E2304"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1" w:name="_heading=h.30j0zll" w:colFirst="0" w:colLast="0"/>
      <w:bookmarkEnd w:id="1"/>
      <w:r>
        <w:rPr>
          <w:rFonts w:ascii="Arial" w:eastAsia="Arial" w:hAnsi="Arial"/>
          <w:color w:val="000000"/>
          <w:sz w:val="24"/>
          <w:szCs w:val="24"/>
        </w:rPr>
        <w:t xml:space="preserve">The benchmarker, acting reasonably, shall be entitled to use any model to determine the achievement of value for money and to carry out the benchmarking. </w:t>
      </w:r>
    </w:p>
    <w:p w14:paraId="501204D4"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2" w:name="_heading=h.1fob9te" w:colFirst="0" w:colLast="0"/>
      <w:bookmarkEnd w:id="2"/>
      <w:r>
        <w:rPr>
          <w:rFonts w:ascii="Arial" w:eastAsia="Arial" w:hAnsi="Arial"/>
          <w:color w:val="000000"/>
          <w:sz w:val="24"/>
          <w:szCs w:val="24"/>
        </w:rP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5E501194"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Once both Parties have approved the draft plan then they will notify the benchmarker.  No Party may unreasonably withhold or delay its Approval of the draft plan.</w:t>
      </w:r>
    </w:p>
    <w:p w14:paraId="40BF4F6E"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Once it has received the Approval of the draft plan, the benchmarker shall:</w:t>
      </w:r>
    </w:p>
    <w:p w14:paraId="065701B0"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52E85E6E" w14:textId="77777777" w:rsidR="00277FAA" w:rsidRDefault="001815BB">
      <w:pPr>
        <w:numPr>
          <w:ilvl w:val="4"/>
          <w:numId w:val="1"/>
        </w:numPr>
        <w:pBdr>
          <w:top w:val="nil"/>
          <w:left w:val="nil"/>
          <w:bottom w:val="nil"/>
          <w:right w:val="nil"/>
          <w:between w:val="nil"/>
        </w:pBdr>
        <w:tabs>
          <w:tab w:val="left" w:pos="3119"/>
        </w:tabs>
        <w:spacing w:before="120" w:after="120"/>
        <w:ind w:firstLine="1112"/>
        <w:jc w:val="left"/>
        <w:rPr>
          <w:rFonts w:ascii="Arial" w:eastAsia="Arial" w:hAnsi="Arial"/>
          <w:color w:val="000000"/>
          <w:sz w:val="24"/>
          <w:szCs w:val="24"/>
        </w:rPr>
      </w:pPr>
      <w:r>
        <w:rPr>
          <w:rFonts w:ascii="Arial" w:eastAsia="Arial" w:hAnsi="Arial"/>
          <w:color w:val="000000"/>
          <w:sz w:val="24"/>
          <w:szCs w:val="24"/>
        </w:rPr>
        <w:t>market intelligence;</w:t>
      </w:r>
    </w:p>
    <w:p w14:paraId="377B8338" w14:textId="77777777" w:rsidR="00277FAA" w:rsidRDefault="001815BB">
      <w:pPr>
        <w:numPr>
          <w:ilvl w:val="4"/>
          <w:numId w:val="1"/>
        </w:numPr>
        <w:pBdr>
          <w:top w:val="nil"/>
          <w:left w:val="nil"/>
          <w:bottom w:val="nil"/>
          <w:right w:val="nil"/>
          <w:between w:val="nil"/>
        </w:pBdr>
        <w:tabs>
          <w:tab w:val="left" w:pos="3119"/>
        </w:tabs>
        <w:spacing w:before="120" w:after="120"/>
        <w:ind w:firstLine="1112"/>
        <w:jc w:val="left"/>
        <w:rPr>
          <w:rFonts w:ascii="Arial" w:eastAsia="Arial" w:hAnsi="Arial"/>
          <w:color w:val="000000"/>
          <w:sz w:val="24"/>
          <w:szCs w:val="24"/>
        </w:rPr>
      </w:pPr>
      <w:r>
        <w:rPr>
          <w:rFonts w:ascii="Arial" w:eastAsia="Arial" w:hAnsi="Arial"/>
          <w:color w:val="000000"/>
          <w:sz w:val="24"/>
          <w:szCs w:val="24"/>
        </w:rPr>
        <w:t>the benchmarker’s own data and experience;</w:t>
      </w:r>
    </w:p>
    <w:p w14:paraId="1865CC58" w14:textId="77777777" w:rsidR="00277FAA" w:rsidRDefault="001815BB">
      <w:pPr>
        <w:numPr>
          <w:ilvl w:val="4"/>
          <w:numId w:val="1"/>
        </w:numPr>
        <w:pBdr>
          <w:top w:val="nil"/>
          <w:left w:val="nil"/>
          <w:bottom w:val="nil"/>
          <w:right w:val="nil"/>
          <w:between w:val="nil"/>
        </w:pBdr>
        <w:tabs>
          <w:tab w:val="left" w:pos="3119"/>
        </w:tabs>
        <w:spacing w:before="120" w:after="120"/>
        <w:ind w:firstLine="1112"/>
        <w:jc w:val="left"/>
        <w:rPr>
          <w:rFonts w:ascii="Arial" w:eastAsia="Arial" w:hAnsi="Arial"/>
          <w:color w:val="000000"/>
          <w:sz w:val="24"/>
          <w:szCs w:val="24"/>
        </w:rPr>
      </w:pPr>
      <w:r>
        <w:rPr>
          <w:rFonts w:ascii="Arial" w:eastAsia="Arial" w:hAnsi="Arial"/>
          <w:color w:val="000000"/>
          <w:sz w:val="24"/>
          <w:szCs w:val="24"/>
        </w:rPr>
        <w:t>relevant published information; and</w:t>
      </w:r>
    </w:p>
    <w:p w14:paraId="145D0D02" w14:textId="77777777" w:rsidR="00277FAA" w:rsidRDefault="001815BB">
      <w:pPr>
        <w:numPr>
          <w:ilvl w:val="4"/>
          <w:numId w:val="1"/>
        </w:numPr>
        <w:pBdr>
          <w:top w:val="nil"/>
          <w:left w:val="nil"/>
          <w:bottom w:val="nil"/>
          <w:right w:val="nil"/>
          <w:between w:val="nil"/>
        </w:pBdr>
        <w:tabs>
          <w:tab w:val="left" w:pos="3119"/>
        </w:tabs>
        <w:spacing w:before="120" w:after="120"/>
        <w:ind w:left="3119" w:hanging="566"/>
        <w:jc w:val="left"/>
        <w:rPr>
          <w:rFonts w:ascii="Arial" w:eastAsia="Arial" w:hAnsi="Arial"/>
          <w:color w:val="000000"/>
          <w:sz w:val="24"/>
          <w:szCs w:val="24"/>
        </w:rPr>
      </w:pPr>
      <w:bookmarkStart w:id="3" w:name="_heading=h.3znysh7" w:colFirst="0" w:colLast="0"/>
      <w:bookmarkEnd w:id="3"/>
      <w:r>
        <w:rPr>
          <w:rFonts w:ascii="Arial" w:eastAsia="Arial" w:hAnsi="Arial"/>
          <w:color w:val="000000"/>
          <w:sz w:val="24"/>
          <w:szCs w:val="24"/>
        </w:rPr>
        <w:t>pursuant to Paragraph 3.2.6  below, information from other suppliers or purchasers on Comparable Rates;</w:t>
      </w:r>
    </w:p>
    <w:p w14:paraId="50C8D2AD"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by applying the adjustment factors listed in Paragraph 3.2.7 and from an analysis of the Comparable Rates, derive the Equivalent Data;</w:t>
      </w:r>
    </w:p>
    <w:p w14:paraId="43472597"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using the Equivalent Data, calculate the Upper Quartile;</w:t>
      </w:r>
    </w:p>
    <w:p w14:paraId="1B79FD88"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determine whether or not each Benchmarked Rate is, and/or the Benchmarked Rates as a whole are, Good Value.</w:t>
      </w:r>
    </w:p>
    <w:p w14:paraId="31FFFE8F"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lastRenderedPageBreak/>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44D5779C"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bookmarkStart w:id="5" w:name="_heading=h.tyjcwt" w:colFirst="0" w:colLast="0"/>
      <w:bookmarkEnd w:id="5"/>
      <w:r>
        <w:rPr>
          <w:rFonts w:ascii="Arial" w:eastAsia="Arial" w:hAnsi="Arial"/>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4C5A7656"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contractual terms and business environment under which the Comparable Rates are being provided (including the scale and geographical spread of the customers);</w:t>
      </w:r>
    </w:p>
    <w:p w14:paraId="457A92D7"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exchange rates;</w:t>
      </w:r>
    </w:p>
    <w:p w14:paraId="0A601488"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any other factors reasonably identified by the Supplier, which, if not taken into consideration, could unfairly cause the Supplier's pricing to appear non-competitive.</w:t>
      </w:r>
    </w:p>
    <w:p w14:paraId="23005164" w14:textId="77777777" w:rsidR="00277FAA" w:rsidRDefault="001815BB">
      <w:pPr>
        <w:keepNext/>
        <w:numPr>
          <w:ilvl w:val="1"/>
          <w:numId w:val="1"/>
        </w:numPr>
        <w:pBdr>
          <w:top w:val="nil"/>
          <w:left w:val="nil"/>
          <w:bottom w:val="nil"/>
          <w:right w:val="nil"/>
          <w:between w:val="nil"/>
        </w:pBdr>
        <w:tabs>
          <w:tab w:val="left" w:pos="1134"/>
        </w:tabs>
        <w:spacing w:before="120" w:after="120"/>
        <w:ind w:left="851" w:hanging="851"/>
        <w:jc w:val="left"/>
        <w:rPr>
          <w:rFonts w:ascii="Arial" w:eastAsia="Arial" w:hAnsi="Arial"/>
          <w:b/>
          <w:color w:val="000000"/>
          <w:sz w:val="24"/>
          <w:szCs w:val="24"/>
        </w:rPr>
      </w:pPr>
      <w:r>
        <w:rPr>
          <w:rFonts w:ascii="Arial" w:eastAsia="Arial" w:hAnsi="Arial"/>
          <w:b/>
          <w:color w:val="000000"/>
          <w:sz w:val="24"/>
          <w:szCs w:val="24"/>
        </w:rPr>
        <w:t>Benchmarking Report</w:t>
      </w:r>
    </w:p>
    <w:p w14:paraId="5E3F34B4"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For the purposes of this Schedule "Benchmarking Report" shall mean the report produced by the benchmarker following the Benchmark Review and as further described in this Schedule;</w:t>
      </w:r>
    </w:p>
    <w:p w14:paraId="39D5D341" w14:textId="77777777" w:rsidR="00277FAA" w:rsidRDefault="001815BB">
      <w:pPr>
        <w:numPr>
          <w:ilvl w:val="2"/>
          <w:numId w:val="1"/>
        </w:numPr>
        <w:pBdr>
          <w:top w:val="nil"/>
          <w:left w:val="nil"/>
          <w:bottom w:val="nil"/>
          <w:right w:val="nil"/>
          <w:between w:val="nil"/>
        </w:pBdr>
        <w:tabs>
          <w:tab w:val="left" w:pos="1985"/>
        </w:tabs>
        <w:spacing w:before="120" w:after="120"/>
        <w:ind w:left="1701" w:hanging="850"/>
        <w:jc w:val="left"/>
        <w:rPr>
          <w:rFonts w:ascii="Arial" w:eastAsia="Arial" w:hAnsi="Arial"/>
          <w:color w:val="000000"/>
          <w:sz w:val="24"/>
          <w:szCs w:val="24"/>
        </w:rPr>
      </w:pPr>
      <w:r>
        <w:rPr>
          <w:rFonts w:ascii="Arial" w:eastAsia="Arial" w:hAnsi="Arial"/>
          <w:color w:val="000000"/>
          <w:sz w:val="24"/>
          <w:szCs w:val="24"/>
        </w:rPr>
        <w:t>The benchmarker shall prepare a Benchmarking Report and deliver it to the Buyer, at the time specified in the plan Approved pursuant to Paragraph 3.2.3, setting out its findings.  Those findings shall be required to:</w:t>
      </w:r>
    </w:p>
    <w:p w14:paraId="5B1633BC"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include a finding as to whether or not a Benchmarked Service and/or whether the Benchmarked Deliverables as a whole are, Good Value;</w:t>
      </w:r>
    </w:p>
    <w:p w14:paraId="7DCBAC4D"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099E1397" w14:textId="77777777" w:rsidR="00277FAA" w:rsidRDefault="001815BB">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10624706" w14:textId="77777777" w:rsidR="00277FAA" w:rsidRDefault="001815BB">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6" w:name="_heading=h.3dy6vkm" w:colFirst="0" w:colLast="0"/>
      <w:bookmarkEnd w:id="6"/>
      <w:r>
        <w:rPr>
          <w:rFonts w:ascii="Arial" w:eastAsia="Arial" w:hAnsi="Arial"/>
          <w:color w:val="000000"/>
          <w:sz w:val="24"/>
          <w:szCs w:val="24"/>
        </w:rPr>
        <w:t xml:space="preserve">The Parties agree that any changes required to this Contract identified in the Benchmarking Report shall be implemented at the direction of the Buyer in accordance with Clause 24 of the Core Terms (Changing the contract). </w:t>
      </w:r>
    </w:p>
    <w:sectPr w:rsidR="00277FAA">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FBA5" w14:textId="77777777" w:rsidR="001815BB" w:rsidRDefault="001815BB">
      <w:pPr>
        <w:spacing w:after="0"/>
      </w:pPr>
      <w:r>
        <w:separator/>
      </w:r>
    </w:p>
  </w:endnote>
  <w:endnote w:type="continuationSeparator" w:id="0">
    <w:p w14:paraId="620AD557" w14:textId="77777777" w:rsidR="001815BB" w:rsidRDefault="00181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CED4" w14:textId="77777777" w:rsidR="00277FAA" w:rsidRDefault="00277FAA">
    <w:pPr>
      <w:tabs>
        <w:tab w:val="center" w:pos="4513"/>
        <w:tab w:val="right" w:pos="9026"/>
      </w:tabs>
      <w:spacing w:after="0"/>
      <w:rPr>
        <w:rFonts w:ascii="Arial" w:eastAsia="Arial" w:hAnsi="Arial"/>
        <w:sz w:val="20"/>
        <w:szCs w:val="20"/>
      </w:rPr>
    </w:pPr>
  </w:p>
  <w:p w14:paraId="27C37827" w14:textId="77777777" w:rsidR="00277FAA" w:rsidRDefault="001815BB">
    <w:pPr>
      <w:tabs>
        <w:tab w:val="center" w:pos="4513"/>
        <w:tab w:val="right" w:pos="9026"/>
      </w:tabs>
      <w:spacing w:after="0"/>
      <w:rPr>
        <w:rFonts w:ascii="Arial" w:eastAsia="Arial" w:hAnsi="Arial"/>
        <w:sz w:val="20"/>
        <w:szCs w:val="20"/>
      </w:rPr>
    </w:pPr>
    <w:r>
      <w:rPr>
        <w:rFonts w:ascii="Arial" w:eastAsia="Arial" w:hAnsi="Arial"/>
        <w:sz w:val="20"/>
        <w:szCs w:val="20"/>
      </w:rPr>
      <w:t>Framework Ref: RM6261</w:t>
    </w:r>
  </w:p>
  <w:p w14:paraId="10E5418B" w14:textId="77777777" w:rsidR="00277FAA" w:rsidRDefault="001815B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w:t>
    </w:r>
    <w:r>
      <w:rPr>
        <w:rFonts w:ascii="Arial" w:eastAsia="Arial" w:hAnsi="Arial"/>
        <w:sz w:val="20"/>
        <w:szCs w:val="20"/>
      </w:rPr>
      <w:t>2</w:t>
    </w:r>
    <w:r>
      <w:rPr>
        <w:rFonts w:ascii="Arial" w:eastAsia="Arial" w:hAnsi="Arial"/>
        <w:color w:val="000000"/>
        <w:sz w:val="20"/>
        <w:szCs w:val="20"/>
      </w:rPr>
      <w:t>.0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46102F03" w14:textId="77777777" w:rsidR="00277FAA" w:rsidRDefault="001815BB">
    <w:pPr>
      <w:tabs>
        <w:tab w:val="center" w:pos="4513"/>
        <w:tab w:val="right" w:pos="9026"/>
      </w:tabs>
      <w:spacing w:after="0"/>
    </w:pPr>
    <w:r>
      <w:rPr>
        <w:rFonts w:ascii="Arial" w:eastAsia="Arial" w:hAnsi="Arial"/>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4860" w14:textId="77777777" w:rsidR="00277FAA" w:rsidRDefault="001815BB">
    <w:pPr>
      <w:tabs>
        <w:tab w:val="center" w:pos="4513"/>
        <w:tab w:val="right" w:pos="9026"/>
      </w:tabs>
      <w:spacing w:after="0"/>
      <w:rPr>
        <w:rFonts w:ascii="Arial" w:eastAsia="Arial" w:hAnsi="Arial"/>
        <w:sz w:val="20"/>
        <w:szCs w:val="20"/>
      </w:rPr>
    </w:pPr>
    <w:r>
      <w:rPr>
        <w:rFonts w:ascii="Arial" w:eastAsia="Arial" w:hAnsi="Arial"/>
        <w:sz w:val="20"/>
        <w:szCs w:val="20"/>
      </w:rPr>
      <w:t>Framework Ref: RM</w:t>
    </w:r>
    <w:r>
      <w:rPr>
        <w:rFonts w:ascii="Arial" w:eastAsia="Arial" w:hAnsi="Arial"/>
        <w:sz w:val="20"/>
        <w:szCs w:val="20"/>
      </w:rPr>
      <w:tab/>
      <w:t xml:space="preserve">                                           </w:t>
    </w:r>
  </w:p>
  <w:p w14:paraId="43835AC0" w14:textId="77777777" w:rsidR="00277FAA" w:rsidRDefault="001815B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color w:val="000000"/>
        <w:sz w:val="20"/>
        <w:szCs w:val="20"/>
      </w:rPr>
      <w:fldChar w:fldCharType="end"/>
    </w:r>
  </w:p>
  <w:p w14:paraId="213D435B" w14:textId="77777777" w:rsidR="00277FAA" w:rsidRDefault="001815BB">
    <w:pPr>
      <w:tabs>
        <w:tab w:val="center" w:pos="4513"/>
        <w:tab w:val="right" w:pos="9026"/>
      </w:tabs>
      <w:spacing w:after="0"/>
    </w:pPr>
    <w:r>
      <w:rPr>
        <w:rFonts w:ascii="Arial" w:eastAsia="Arial" w:hAnsi="Arial"/>
        <w:sz w:val="20"/>
        <w:szCs w:val="20"/>
      </w:rPr>
      <w:t>Model Version: v3.0</w:t>
    </w:r>
    <w:r>
      <w:rPr>
        <w:rFonts w:ascii="Arial" w:eastAsia="Arial" w:hAnsi="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6A8E" w14:textId="77777777" w:rsidR="001815BB" w:rsidRDefault="001815BB">
      <w:pPr>
        <w:spacing w:after="0"/>
      </w:pPr>
      <w:r>
        <w:separator/>
      </w:r>
    </w:p>
  </w:footnote>
  <w:footnote w:type="continuationSeparator" w:id="0">
    <w:p w14:paraId="1D892FA8" w14:textId="77777777" w:rsidR="001815BB" w:rsidRDefault="00181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8CA9" w14:textId="77777777" w:rsidR="00277FAA" w:rsidRDefault="001815B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Call-Off Schedule 16 (Benchmarking)</w:t>
    </w:r>
  </w:p>
  <w:p w14:paraId="3A7DF321" w14:textId="77777777" w:rsidR="00277FAA" w:rsidRDefault="001815B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p>
  <w:p w14:paraId="0CE51AA0" w14:textId="77777777" w:rsidR="00277FAA" w:rsidRDefault="001815BB">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22</w:t>
    </w:r>
  </w:p>
  <w:p w14:paraId="4C3B133D" w14:textId="77777777" w:rsidR="00277FAA" w:rsidRDefault="00277FAA">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D6B9" w14:textId="77777777" w:rsidR="00277FAA" w:rsidRDefault="001815BB">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58240" behindDoc="0" locked="0" layoutInCell="1" hidden="0" allowOverlap="1" wp14:anchorId="44EF4506" wp14:editId="2A37D3DE">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120BD"/>
    <w:multiLevelType w:val="multilevel"/>
    <w:tmpl w:val="5BFA1250"/>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C449EF"/>
    <w:multiLevelType w:val="multilevel"/>
    <w:tmpl w:val="548A9B4A"/>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5484335">
    <w:abstractNumId w:val="1"/>
  </w:num>
  <w:num w:numId="2" w16cid:durableId="16802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AA"/>
    <w:rsid w:val="001815BB"/>
    <w:rsid w:val="00277FAA"/>
    <w:rsid w:val="0061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2712A6"/>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uiPriority w:val="99"/>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EHo8/0pLZBbUeJyJNSnp2WuEzw==">AMUW2mWCs5trai0vEYGKjpLSakOgK47NdXNRPIotjH4QT/VWnDJ2a4ifEBEHyYU7Mj9HzZrNk+m1UKRgMhsVV4C7PLBe6i4Kr2HF859pgHd7DxcAGFYy05ViFUBhvEp5IvX2HF7fIBAGs7Icfv5rvInvbxMzill5AiVFrw26/FxI6EtYViIy5I6+NvjSNOkp4NttoV0K4pYo82r4CztL2luqY+JZCh212Q==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7003</Characters>
  <Application>Microsoft Office Word</Application>
  <DocSecurity>4</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Court</dc:creator>
  <cp:lastModifiedBy>Maria Court</cp:lastModifiedBy>
  <cp:revision>2</cp:revision>
  <dcterms:created xsi:type="dcterms:W3CDTF">2025-06-18T14:30:00Z</dcterms:created>
  <dcterms:modified xsi:type="dcterms:W3CDTF">2025-06-18T14:30:00Z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