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919B9" w:rsidRDefault="00B919B9">
      <w:pPr>
        <w:keepNext/>
        <w:pBdr>
          <w:top w:val="nil"/>
          <w:left w:val="nil"/>
          <w:bottom w:val="nil"/>
          <w:right w:val="nil"/>
          <w:between w:val="nil"/>
        </w:pBdr>
        <w:spacing w:after="0"/>
        <w:jc w:val="left"/>
        <w:rPr>
          <w:rFonts w:ascii="Arial" w:eastAsia="Arial" w:hAnsi="Arial"/>
          <w:b/>
          <w:color w:val="000000"/>
          <w:sz w:val="32"/>
          <w:szCs w:val="32"/>
        </w:rPr>
      </w:pPr>
    </w:p>
    <w:p w14:paraId="00000002" w14:textId="77777777" w:rsidR="00B919B9" w:rsidRDefault="00036DAA">
      <w:pPr>
        <w:keepNext/>
        <w:pBdr>
          <w:top w:val="nil"/>
          <w:left w:val="nil"/>
          <w:bottom w:val="nil"/>
          <w:right w:val="nil"/>
          <w:between w:val="nil"/>
        </w:pBdr>
        <w:jc w:val="left"/>
        <w:rPr>
          <w:rFonts w:ascii="Arial" w:eastAsia="Arial" w:hAnsi="Arial"/>
          <w:b/>
          <w:color w:val="000000"/>
          <w:sz w:val="36"/>
          <w:szCs w:val="36"/>
        </w:rPr>
      </w:pPr>
      <w:r>
        <w:rPr>
          <w:rFonts w:ascii="Arial" w:eastAsia="Arial" w:hAnsi="Arial"/>
          <w:b/>
          <w:color w:val="000000"/>
          <w:sz w:val="36"/>
          <w:szCs w:val="36"/>
        </w:rPr>
        <w:t>Call-Off Schedule 11 (Installation Works)</w:t>
      </w:r>
    </w:p>
    <w:p w14:paraId="00000003" w14:textId="77777777" w:rsidR="00B919B9" w:rsidRDefault="00036DAA">
      <w:pPr>
        <w:keepNext/>
        <w:keepLines/>
        <w:numPr>
          <w:ilvl w:val="0"/>
          <w:numId w:val="1"/>
        </w:numPr>
        <w:pBdr>
          <w:top w:val="nil"/>
          <w:left w:val="nil"/>
          <w:bottom w:val="nil"/>
          <w:right w:val="nil"/>
          <w:between w:val="nil"/>
        </w:pBdr>
        <w:tabs>
          <w:tab w:val="left" w:pos="142"/>
        </w:tabs>
        <w:spacing w:before="120"/>
        <w:jc w:val="left"/>
        <w:rPr>
          <w:rFonts w:ascii="Arial" w:eastAsia="Arial" w:hAnsi="Arial"/>
          <w:b/>
          <w:color w:val="000000"/>
          <w:sz w:val="24"/>
          <w:szCs w:val="24"/>
        </w:rPr>
      </w:pPr>
      <w:r>
        <w:rPr>
          <w:rFonts w:ascii="Arial" w:eastAsia="Arial" w:hAnsi="Arial"/>
          <w:b/>
          <w:color w:val="000000"/>
          <w:sz w:val="24"/>
          <w:szCs w:val="24"/>
        </w:rPr>
        <w:t>When this Schedule should be used</w:t>
      </w:r>
    </w:p>
    <w:p w14:paraId="00000004" w14:textId="77777777" w:rsidR="00B919B9" w:rsidRDefault="00036DAA">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r>
        <w:rPr>
          <w:rFonts w:ascii="Arial" w:eastAsia="Arial" w:hAnsi="Arial"/>
          <w:color w:val="000000"/>
          <w:sz w:val="24"/>
          <w:szCs w:val="24"/>
        </w:rPr>
        <w:t xml:space="preserve">This Schedule is designed to provide additional provisions necessary to facilitate the </w:t>
      </w:r>
      <w:r>
        <w:rPr>
          <w:rFonts w:ascii="Arial" w:eastAsia="Arial" w:hAnsi="Arial"/>
          <w:sz w:val="24"/>
          <w:szCs w:val="24"/>
        </w:rPr>
        <w:t>provision of Deliverables</w:t>
      </w:r>
      <w:r>
        <w:rPr>
          <w:rFonts w:ascii="Arial" w:eastAsia="Arial" w:hAnsi="Arial"/>
          <w:color w:val="000000"/>
          <w:sz w:val="24"/>
          <w:szCs w:val="24"/>
        </w:rPr>
        <w:t xml:space="preserve"> requiring installation by the Supplier.</w:t>
      </w:r>
    </w:p>
    <w:p w14:paraId="00000005" w14:textId="77777777" w:rsidR="00B919B9" w:rsidRDefault="00036DAA">
      <w:pPr>
        <w:keepNext/>
        <w:numPr>
          <w:ilvl w:val="0"/>
          <w:numId w:val="1"/>
        </w:numPr>
        <w:pBdr>
          <w:top w:val="nil"/>
          <w:left w:val="nil"/>
          <w:bottom w:val="nil"/>
          <w:right w:val="nil"/>
          <w:between w:val="nil"/>
        </w:pBdr>
        <w:tabs>
          <w:tab w:val="left" w:pos="1134"/>
        </w:tabs>
        <w:spacing w:before="120" w:after="120"/>
        <w:jc w:val="left"/>
        <w:rPr>
          <w:rFonts w:ascii="Arial" w:eastAsia="Arial" w:hAnsi="Arial"/>
          <w:b/>
          <w:color w:val="000000"/>
          <w:sz w:val="24"/>
          <w:szCs w:val="24"/>
        </w:rPr>
      </w:pPr>
      <w:bookmarkStart w:id="0" w:name="_heading=h.gjdgxs" w:colFirst="0" w:colLast="0"/>
      <w:bookmarkEnd w:id="0"/>
      <w:r>
        <w:rPr>
          <w:rFonts w:ascii="Arial" w:eastAsia="Arial" w:hAnsi="Arial"/>
          <w:b/>
          <w:color w:val="000000"/>
          <w:sz w:val="24"/>
          <w:szCs w:val="24"/>
        </w:rPr>
        <w:t xml:space="preserve">How things must be installed   </w:t>
      </w:r>
    </w:p>
    <w:p w14:paraId="00000006" w14:textId="77777777" w:rsidR="00B919B9" w:rsidRDefault="00036DAA">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bookmarkStart w:id="1" w:name="_heading=h.30j0zll" w:colFirst="0" w:colLast="0"/>
      <w:bookmarkEnd w:id="1"/>
      <w:r>
        <w:rPr>
          <w:rFonts w:ascii="Arial" w:eastAsia="Arial" w:hAnsi="Arial"/>
          <w:color w:val="000000"/>
          <w:sz w:val="24"/>
          <w:szCs w:val="24"/>
        </w:rPr>
        <w:t xml:space="preserve">Where the Supplier reasonably </w:t>
      </w:r>
      <w:r>
        <w:rPr>
          <w:rFonts w:ascii="Arial" w:eastAsia="Arial" w:hAnsi="Arial"/>
          <w:sz w:val="24"/>
          <w:szCs w:val="24"/>
        </w:rPr>
        <w:t>believes it</w:t>
      </w:r>
      <w:r>
        <w:rPr>
          <w:rFonts w:ascii="Arial" w:eastAsia="Arial" w:hAnsi="Arial"/>
          <w:color w:val="000000"/>
          <w:sz w:val="24"/>
          <w:szCs w:val="24"/>
        </w:rPr>
        <w:t xml:space="preserve"> has completed the Installation </w:t>
      </w:r>
      <w:r>
        <w:rPr>
          <w:rFonts w:ascii="Arial" w:eastAsia="Arial" w:hAnsi="Arial"/>
          <w:sz w:val="24"/>
          <w:szCs w:val="24"/>
        </w:rPr>
        <w:t>Works, it shall</w:t>
      </w:r>
      <w:r>
        <w:rPr>
          <w:rFonts w:ascii="Arial" w:eastAsia="Arial" w:hAnsi="Arial"/>
          <w:color w:val="000000"/>
          <w:sz w:val="24"/>
          <w:szCs w:val="24"/>
        </w:rPr>
        <w:t xml:space="preserve"> notify the Buyer in writing. Following receipt of such notice, the Buyer shall inspect the Installation Works and shall, by giving written notice to the Supplier: </w:t>
      </w:r>
    </w:p>
    <w:p w14:paraId="00000007" w14:textId="77777777" w:rsidR="00B919B9" w:rsidRDefault="00036DAA">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 w:name="_heading=h.1fob9te" w:colFirst="0" w:colLast="0"/>
      <w:bookmarkEnd w:id="2"/>
      <w:r>
        <w:rPr>
          <w:rFonts w:ascii="Arial" w:eastAsia="Arial" w:hAnsi="Arial"/>
          <w:color w:val="000000"/>
          <w:sz w:val="24"/>
          <w:szCs w:val="24"/>
        </w:rPr>
        <w:t xml:space="preserve">accept the Installation Works, or </w:t>
      </w:r>
    </w:p>
    <w:p w14:paraId="00000008" w14:textId="77777777" w:rsidR="00B919B9" w:rsidRDefault="00036DAA">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3" w:name="_heading=h.3znysh7" w:colFirst="0" w:colLast="0"/>
      <w:bookmarkEnd w:id="3"/>
      <w:r>
        <w:rPr>
          <w:rFonts w:ascii="Arial" w:eastAsia="Arial" w:hAnsi="Arial"/>
          <w:color w:val="000000"/>
          <w:sz w:val="24"/>
          <w:szCs w:val="24"/>
        </w:rPr>
        <w:t>reject the Installation Works and provide reasons to the Supplier if, in the Buyer’s reasonable opinion, the Installation Works do not meet the requirements set out in the Call-Off Order Form (or elsewhere in this Contract).</w:t>
      </w:r>
    </w:p>
    <w:p w14:paraId="00000009" w14:textId="77777777" w:rsidR="00B919B9" w:rsidRDefault="00036DAA">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r>
        <w:rPr>
          <w:rFonts w:ascii="Arial" w:eastAsia="Arial" w:hAnsi="Arial"/>
          <w:color w:val="000000"/>
          <w:sz w:val="24"/>
          <w:szCs w:val="24"/>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0000000A" w14:textId="77777777" w:rsidR="00B919B9" w:rsidRDefault="00036DAA">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bookmarkStart w:id="4" w:name="_heading=h.2et92p0" w:colFirst="0" w:colLast="0"/>
      <w:bookmarkEnd w:id="4"/>
      <w:r>
        <w:rPr>
          <w:rFonts w:ascii="Arial" w:eastAsia="Arial" w:hAnsi="Arial"/>
          <w:color w:val="000000"/>
          <w:sz w:val="24"/>
          <w:szCs w:val="24"/>
        </w:rPr>
        <w:t>The Installation Works shall be deemed to be completed when the Supplier receives a notice issued by the Buyer in accordance with Paragraph 2.1.1. Notwithstanding the acceptance of any Installation Works in accordance with Paragraph 2.1.1., the Supplier shall remain solely responsible for ensuring that the Goods and the Installation Works conform to the specification in the Call-Off Order Form (or elsewhere in this Contract). No rights of estoppel or waiver shall arise as a result of the acceptance by the B</w:t>
      </w:r>
      <w:r>
        <w:rPr>
          <w:rFonts w:ascii="Arial" w:eastAsia="Arial" w:hAnsi="Arial"/>
          <w:color w:val="000000"/>
          <w:sz w:val="24"/>
          <w:szCs w:val="24"/>
        </w:rPr>
        <w:t>uyer of the Installation Works.</w:t>
      </w:r>
    </w:p>
    <w:p w14:paraId="0000000B" w14:textId="77777777" w:rsidR="00B919B9" w:rsidRDefault="00036DAA">
      <w:pPr>
        <w:keepLines/>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bookmarkStart w:id="5" w:name="_heading=h.tyjcwt" w:colFirst="0" w:colLast="0"/>
      <w:bookmarkEnd w:id="5"/>
      <w:r>
        <w:rPr>
          <w:rFonts w:ascii="Arial" w:eastAsia="Arial" w:hAnsi="Arial"/>
          <w:color w:val="000000"/>
          <w:sz w:val="24"/>
          <w:szCs w:val="24"/>
        </w:rPr>
        <w:t>Throughout the Contract Period, the Supplier shall have at all times all licences, approvals and consents necessary to enable the Supplier and the Supplier Staff to carry out the Installation Works.</w:t>
      </w:r>
      <w:r>
        <w:rPr>
          <w:rFonts w:ascii="Arial" w:eastAsia="Arial" w:hAnsi="Arial"/>
          <w:b/>
          <w:color w:val="000000"/>
          <w:sz w:val="24"/>
          <w:szCs w:val="24"/>
        </w:rPr>
        <w:t xml:space="preserve"> </w:t>
      </w:r>
    </w:p>
    <w:sectPr w:rsidR="00B919B9">
      <w:headerReference w:type="default" r:id="rId8"/>
      <w:footerReference w:type="default" r:id="rId9"/>
      <w:pgSz w:w="11906" w:h="16838"/>
      <w:pgMar w:top="1440" w:right="1440" w:bottom="1440" w:left="1440" w:header="708"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26BD1" w14:textId="77777777" w:rsidR="00036DAA" w:rsidRDefault="00036DAA">
      <w:pPr>
        <w:spacing w:after="0"/>
      </w:pPr>
      <w:r>
        <w:separator/>
      </w:r>
    </w:p>
  </w:endnote>
  <w:endnote w:type="continuationSeparator" w:id="0">
    <w:p w14:paraId="22E79148" w14:textId="77777777" w:rsidR="00036DAA" w:rsidRDefault="00036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7777777" w:rsidR="00B919B9" w:rsidRDefault="00B919B9">
    <w:pPr>
      <w:tabs>
        <w:tab w:val="center" w:pos="4513"/>
        <w:tab w:val="right" w:pos="9026"/>
      </w:tabs>
      <w:spacing w:after="0"/>
    </w:pPr>
  </w:p>
  <w:p w14:paraId="00000011" w14:textId="77777777" w:rsidR="00B919B9" w:rsidRDefault="00036DAA">
    <w:pPr>
      <w:tabs>
        <w:tab w:val="center" w:pos="4513"/>
        <w:tab w:val="right" w:pos="9026"/>
      </w:tabs>
      <w:spacing w:after="0"/>
    </w:pPr>
    <w:r>
      <w:t>Framework Ref: RM6261</w:t>
    </w:r>
  </w:p>
  <w:p w14:paraId="00000012" w14:textId="77777777" w:rsidR="00B919B9" w:rsidRDefault="00036DAA">
    <w:pPr>
      <w:tabs>
        <w:tab w:val="center" w:pos="4513"/>
        <w:tab w:val="right" w:pos="9026"/>
      </w:tabs>
      <w:spacing w:after="0"/>
    </w:pPr>
    <w:r>
      <w:t>Project Version: v1.0</w:t>
    </w:r>
    <w:r>
      <w:tab/>
    </w:r>
    <w:r>
      <w:tab/>
      <w:t xml:space="preserve"> </w:t>
    </w:r>
    <w:bookmarkStart w:id="6" w:name="bookmark=id.3dy6vkm" w:colFirst="0" w:colLast="0"/>
    <w:bookmarkEnd w:id="6"/>
    <w:r>
      <w:t>1</w:t>
    </w:r>
  </w:p>
  <w:p w14:paraId="00000013" w14:textId="77777777" w:rsidR="00B919B9" w:rsidRDefault="00036DAA">
    <w:pPr>
      <w:spacing w:after="0"/>
    </w:pPr>
    <w: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842E8" w14:textId="77777777" w:rsidR="00036DAA" w:rsidRDefault="00036DAA">
      <w:pPr>
        <w:spacing w:after="0"/>
      </w:pPr>
      <w:r>
        <w:separator/>
      </w:r>
    </w:p>
  </w:footnote>
  <w:footnote w:type="continuationSeparator" w:id="0">
    <w:p w14:paraId="4201AB5C" w14:textId="77777777" w:rsidR="00036DAA" w:rsidRDefault="00036D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C" w14:textId="77777777" w:rsidR="00B919B9" w:rsidRDefault="00036DA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Schedule 11 (Installation Works)</w:t>
    </w:r>
  </w:p>
  <w:p w14:paraId="0000000D" w14:textId="77777777" w:rsidR="00B919B9" w:rsidRDefault="00036DAA">
    <w:pPr>
      <w:spacing w:after="0"/>
      <w:rPr>
        <w:rFonts w:ascii="Arial" w:eastAsia="Arial" w:hAnsi="Arial"/>
        <w:sz w:val="20"/>
        <w:szCs w:val="20"/>
      </w:rPr>
    </w:pPr>
    <w:r>
      <w:rPr>
        <w:rFonts w:ascii="Arial" w:eastAsia="Arial" w:hAnsi="Arial"/>
        <w:sz w:val="20"/>
        <w:szCs w:val="20"/>
      </w:rPr>
      <w:t>Call-Off Ref:</w:t>
    </w:r>
  </w:p>
  <w:p w14:paraId="0000000E" w14:textId="77777777" w:rsidR="00B919B9" w:rsidRDefault="00036DAA">
    <w:pPr>
      <w:spacing w:after="0"/>
      <w:rPr>
        <w:rFonts w:ascii="Arial" w:eastAsia="Arial" w:hAnsi="Arial"/>
        <w:sz w:val="20"/>
        <w:szCs w:val="20"/>
      </w:rPr>
    </w:pPr>
    <w:r>
      <w:rPr>
        <w:rFonts w:ascii="Arial" w:eastAsia="Arial" w:hAnsi="Arial"/>
        <w:sz w:val="20"/>
        <w:szCs w:val="20"/>
      </w:rPr>
      <w:t>Crown Copyright 2022</w:t>
    </w:r>
  </w:p>
  <w:p w14:paraId="0000000F" w14:textId="77777777" w:rsidR="00B919B9" w:rsidRDefault="00B919B9">
    <w:pPr>
      <w:spacing w:after="0"/>
      <w:rPr>
        <w:rFonts w:ascii="Arial" w:eastAsia="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1000F"/>
    <w:multiLevelType w:val="multilevel"/>
    <w:tmpl w:val="CAA47D62"/>
    <w:lvl w:ilvl="0">
      <w:start w:val="1"/>
      <w:numFmt w:val="decimal"/>
      <w:pStyle w:val="GPSL1Schedule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D025D2"/>
    <w:multiLevelType w:val="multilevel"/>
    <w:tmpl w:val="2A8A594A"/>
    <w:lvl w:ilvl="0">
      <w:start w:val="1"/>
      <w:numFmt w:val="decimal"/>
      <w:pStyle w:val="GPSL1CLAUSEHEADING"/>
      <w:lvlText w:val="%1."/>
      <w:lvlJc w:val="left"/>
      <w:pPr>
        <w:ind w:left="360" w:hanging="360"/>
      </w:pPr>
    </w:lvl>
    <w:lvl w:ilvl="1">
      <w:start w:val="1"/>
      <w:numFmt w:val="decimal"/>
      <w:pStyle w:val="GPSL2NumberedBoldHeading"/>
      <w:lvlText w:val="%1.%2."/>
      <w:lvlJc w:val="left"/>
      <w:pPr>
        <w:ind w:left="936" w:hanging="576"/>
      </w:pPr>
      <w:rPr>
        <w:b w:val="0"/>
      </w:rPr>
    </w:lvl>
    <w:lvl w:ilvl="2">
      <w:start w:val="1"/>
      <w:numFmt w:val="decimal"/>
      <w:pStyle w:val="GPSL3numberedclause"/>
      <w:lvlText w:val="%1.%2.%3."/>
      <w:lvlJc w:val="left"/>
      <w:pPr>
        <w:ind w:left="1656" w:hanging="720"/>
      </w:pPr>
    </w:lvl>
    <w:lvl w:ilvl="3">
      <w:start w:val="1"/>
      <w:numFmt w:val="decimal"/>
      <w:pStyle w:val="GPSL4numberedclause"/>
      <w:lvlText w:val="%1.%2.%3.%4."/>
      <w:lvlJc w:val="left"/>
      <w:pPr>
        <w:ind w:left="2592" w:hanging="936"/>
      </w:pPr>
    </w:lvl>
    <w:lvl w:ilvl="4">
      <w:start w:val="1"/>
      <w:numFmt w:val="decimal"/>
      <w:pStyle w:val="GPSL5numberedclause"/>
      <w:lvlText w:val="%1.%2.%3.%4.%5."/>
      <w:lvlJc w:val="left"/>
      <w:pPr>
        <w:ind w:left="2232" w:hanging="792"/>
      </w:pPr>
    </w:lvl>
    <w:lvl w:ilvl="5">
      <w:start w:val="1"/>
      <w:numFmt w:val="decimal"/>
      <w:pStyle w:val="GPSL6numbered"/>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4741728">
    <w:abstractNumId w:val="1"/>
  </w:num>
  <w:num w:numId="2" w16cid:durableId="1556508305">
    <w:abstractNumId w:val="0"/>
  </w:num>
  <w:num w:numId="3" w16cid:durableId="310332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944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B9"/>
    <w:rsid w:val="00036DAA"/>
    <w:rsid w:val="006164A4"/>
    <w:rsid w:val="00B91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paragraph" w:customStyle="1" w:styleId="GPSL1Guidance">
    <w:name w:val="GPS L1 Guidance"/>
    <w:basedOn w:val="Normal"/>
    <w:link w:val="GPSL1GuidanceChar"/>
    <w:qFormat/>
    <w:pPr>
      <w:spacing w:before="240" w:after="12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numbered">
    <w:name w:val="GPS L1 Schedule numbered"/>
    <w:basedOn w:val="Normal"/>
    <w:link w:val="GPSL1SchedulenumberedChar1"/>
    <w:qFormat/>
    <w:pPr>
      <w:numPr>
        <w:numId w:val="2"/>
      </w:numPr>
      <w:tabs>
        <w:tab w:val="left" w:pos="851"/>
      </w:tabs>
    </w:p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tabs>
        <w:tab w:val="num" w:pos="720"/>
      </w:tabs>
      <w:overflowPunct/>
      <w:autoSpaceDE/>
      <w:autoSpaceDN/>
      <w:ind w:left="720" w:hanging="720"/>
      <w:textAlignment w:val="auto"/>
    </w:pPr>
    <w:rPr>
      <w:rFonts w:cs="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paragraph" w:customStyle="1" w:styleId="GPsDefinition">
    <w:name w:val="GPs Definition"/>
    <w:basedOn w:val="Normal"/>
    <w:qFormat/>
    <w:pPr>
      <w:tabs>
        <w:tab w:val="left" w:pos="175"/>
        <w:tab w:val="num" w:pos="720"/>
      </w:tabs>
      <w:spacing w:after="120"/>
      <w:ind w:left="720" w:hanging="720"/>
    </w:pPr>
  </w:style>
  <w:style w:type="paragraph" w:customStyle="1" w:styleId="GPSDefinitionL2">
    <w:name w:val="GPS Definition L2"/>
    <w:basedOn w:val="GPsDefinition"/>
    <w:link w:val="GPSDefinitionL2Char"/>
    <w:qFormat/>
    <w:pPr>
      <w:numPr>
        <w:ilvl w:val="1"/>
      </w:numPr>
      <w:tabs>
        <w:tab w:val="num" w:pos="720"/>
      </w:tabs>
      <w:ind w:left="720" w:hanging="720"/>
    </w:pPr>
  </w:style>
  <w:style w:type="paragraph" w:customStyle="1" w:styleId="GPSDefinitionL3">
    <w:name w:val="GPS Definition L3"/>
    <w:basedOn w:val="GPSDefinitionL2"/>
    <w:qFormat/>
    <w:pPr>
      <w:numPr>
        <w:ilvl w:val="2"/>
      </w:numPr>
      <w:tabs>
        <w:tab w:val="num" w:pos="720"/>
      </w:tabs>
      <w:ind w:left="2500" w:hanging="180"/>
    </w:pPr>
  </w:style>
  <w:style w:type="paragraph" w:customStyle="1" w:styleId="GPSDefinitionL4">
    <w:name w:val="GPS Definition L4"/>
    <w:basedOn w:val="GPSDefinitionL3"/>
    <w:qFormat/>
    <w:pPr>
      <w:numPr>
        <w:ilvl w:val="3"/>
      </w:numPr>
      <w:tabs>
        <w:tab w:val="num" w:pos="360"/>
        <w:tab w:val="num" w:pos="720"/>
      </w:tabs>
      <w:ind w:left="3220" w:hanging="180"/>
    </w:pPr>
  </w:style>
  <w:style w:type="paragraph" w:customStyle="1" w:styleId="GPSL3Guidance">
    <w:name w:val="GPS L3 Guidance"/>
    <w:basedOn w:val="GPSL3numberedclause"/>
    <w:link w:val="GPSL3GuidanceChar"/>
    <w:qFormat/>
    <w:pPr>
      <w:numPr>
        <w:ilvl w:val="0"/>
        <w:numId w:val="0"/>
      </w:numPr>
      <w:ind w:left="1985"/>
    </w:pPr>
    <w:rPr>
      <w:b/>
      <w:i/>
    </w:rPr>
  </w:style>
  <w:style w:type="character" w:customStyle="1" w:styleId="GPSDefinitionL2Char">
    <w:name w:val="GPS Definition L2 Char"/>
    <w:link w:val="GPSDefinitionL2"/>
    <w:locked/>
    <w:rPr>
      <w:rFonts w:ascii="Calibri" w:eastAsia="Times New Roman" w:hAnsi="Calibri" w:cs="Arial"/>
    </w:rPr>
  </w:style>
  <w:style w:type="character" w:customStyle="1" w:styleId="GPSL3GuidanceChar">
    <w:name w:val="GPS L3 Guidance Char"/>
    <w:link w:val="GPSL3Guidance"/>
    <w:rPr>
      <w:rFonts w:ascii="Calibri" w:eastAsia="Times New Roman" w:hAnsi="Calibri" w:cs="Arial"/>
      <w:b/>
      <w:i/>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Ekxt3zCyks1yGDgrpID3wTJupg==">AMUW2mV6NxC9DWAg9N0Y2xlukOKRnUcJz9ZAM/UUGbq6De7JP899gHR+a/ve4gXSpEw4uDf2GZcrS+F7cXpMcsGYld6tQSb9bozXUEjUHCrRkZtA4O4EB1AsNTqvD44RjSViHIzooW/ABje8TGzpW2r845bP89gIJIlNVFfjCM3H+37Dee0Za4gbd0Vae96Rnt+g+arz/Jmk7t5WsqlEAnZt62r3T6CWJQ==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4</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Court</dc:creator>
  <cp:lastModifiedBy>Maria Court</cp:lastModifiedBy>
  <cp:revision>2</cp:revision>
  <dcterms:created xsi:type="dcterms:W3CDTF">2025-06-18T14:28:00Z</dcterms:created>
  <dcterms:modified xsi:type="dcterms:W3CDTF">2025-06-18T14:28:00Z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